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В журнале «Юридическая наука и практика» публикуются материалы, соответствующие основным рубрикам:</w:t>
      </w:r>
    </w:p>
    <w:p w:rsidR="00000000" w:rsidDel="00000000" w:rsidP="00000000" w:rsidRDefault="00000000" w:rsidRPr="00000000" w14:paraId="00000002">
      <w:pPr>
        <w:numPr>
          <w:ilvl w:val="0"/>
          <w:numId w:val="2"/>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«История и теория государства и права»</w:t>
      </w:r>
    </w:p>
    <w:p w:rsidR="00000000" w:rsidDel="00000000" w:rsidP="00000000" w:rsidRDefault="00000000" w:rsidRPr="00000000" w14:paraId="00000003">
      <w:pPr>
        <w:numPr>
          <w:ilvl w:val="0"/>
          <w:numId w:val="2"/>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«Конституционное и муниципальное право»</w:t>
      </w:r>
    </w:p>
    <w:p w:rsidR="00000000" w:rsidDel="00000000" w:rsidP="00000000" w:rsidRDefault="00000000" w:rsidRPr="00000000" w14:paraId="00000004">
      <w:pPr>
        <w:numPr>
          <w:ilvl w:val="0"/>
          <w:numId w:val="2"/>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«Гражданское и предпринимательское право»</w:t>
      </w:r>
    </w:p>
    <w:p w:rsidR="00000000" w:rsidDel="00000000" w:rsidP="00000000" w:rsidRDefault="00000000" w:rsidRPr="00000000" w14:paraId="00000005">
      <w:pPr>
        <w:numPr>
          <w:ilvl w:val="0"/>
          <w:numId w:val="2"/>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«Трудовое право и право социального обеспечения»</w:t>
      </w:r>
    </w:p>
    <w:p w:rsidR="00000000" w:rsidDel="00000000" w:rsidP="00000000" w:rsidRDefault="00000000" w:rsidRPr="00000000" w14:paraId="00000006">
      <w:pPr>
        <w:numPr>
          <w:ilvl w:val="0"/>
          <w:numId w:val="2"/>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«Экологическое право»</w:t>
      </w:r>
    </w:p>
    <w:p w:rsidR="00000000" w:rsidDel="00000000" w:rsidP="00000000" w:rsidRDefault="00000000" w:rsidRPr="00000000" w14:paraId="00000007">
      <w:pPr>
        <w:numPr>
          <w:ilvl w:val="0"/>
          <w:numId w:val="2"/>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«Гражданский и арбитражный процесс»</w:t>
      </w:r>
    </w:p>
    <w:p w:rsidR="00000000" w:rsidDel="00000000" w:rsidP="00000000" w:rsidRDefault="00000000" w:rsidRPr="00000000" w14:paraId="00000008">
      <w:pPr>
        <w:numPr>
          <w:ilvl w:val="0"/>
          <w:numId w:val="2"/>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«Административное и финансовое право»</w:t>
      </w:r>
    </w:p>
    <w:p w:rsidR="00000000" w:rsidDel="00000000" w:rsidP="00000000" w:rsidRDefault="00000000" w:rsidRPr="00000000" w14:paraId="00000009">
      <w:pPr>
        <w:numPr>
          <w:ilvl w:val="0"/>
          <w:numId w:val="2"/>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«Уголовное право и процесс, криминалистика»</w:t>
      </w:r>
    </w:p>
    <w:p w:rsidR="00000000" w:rsidDel="00000000" w:rsidP="00000000" w:rsidRDefault="00000000" w:rsidRPr="00000000" w14:paraId="0000000A">
      <w:pPr>
        <w:numPr>
          <w:ilvl w:val="0"/>
          <w:numId w:val="2"/>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«Международное право»</w:t>
      </w:r>
    </w:p>
    <w:p w:rsidR="00000000" w:rsidDel="00000000" w:rsidP="00000000" w:rsidRDefault="00000000" w:rsidRPr="00000000" w14:paraId="0000000B">
      <w:pPr>
        <w:numPr>
          <w:ilvl w:val="0"/>
          <w:numId w:val="2"/>
        </w:numPr>
        <w:shd w:fill="ffffff" w:val="clear"/>
        <w:spacing w:after="16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«Научная жизнь, публикации, рецензии, переводы».</w:t>
      </w:r>
    </w:p>
    <w:p w:rsidR="00000000" w:rsidDel="00000000" w:rsidP="00000000" w:rsidRDefault="00000000" w:rsidRPr="00000000" w14:paraId="0000000C">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Статьи иностранных авторов, выполненные на иностранных языках, публикуются по согласованию с автором в переводе на русский язык. Редакция оставляет за собой право редактирования, сокращения (по согласованию с автором) и адаптации публикуемых материалов к рубрикам журнала. Все статьи проходят обязательное рецензирование, о результатах рецензирования авторы извещаются по указанному автором адресу электронной почты. Решение редакционной коллегии о принятии статьи к печати или об отклонении сообщается авторам по электронной почте. Журнал придерживается политики открытого доступа (Open Access). После выхода журнала бесплатные (так называемые авторские) номера не предоставляются. Авторы самостоятельно приобретают журнал по розничной цене. Иногородним авторам возможна высылка журнала наложенным платежом по индивидуальной договоренности.</w:t>
      </w:r>
    </w:p>
    <w:p w:rsidR="00000000" w:rsidDel="00000000" w:rsidP="00000000" w:rsidRDefault="00000000" w:rsidRPr="00000000" w14:paraId="0000000D">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Передавая рукопись статьи (произведение) в редколлегию журнала, автор тем самым предоставляет редакции следующие неисключительные права на использование произведения на весь срок действия авторского права, предусмотренного действующим законодательством РФ:·</w:t>
      </w:r>
    </w:p>
    <w:p w:rsidR="00000000" w:rsidDel="00000000" w:rsidP="00000000" w:rsidRDefault="00000000" w:rsidRPr="00000000" w14:paraId="0000000E">
      <w:pPr>
        <w:numPr>
          <w:ilvl w:val="0"/>
          <w:numId w:val="5"/>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перевод произведения на английский язык;</w:t>
      </w:r>
    </w:p>
    <w:p w:rsidR="00000000" w:rsidDel="00000000" w:rsidP="00000000" w:rsidRDefault="00000000" w:rsidRPr="00000000" w14:paraId="0000000F">
      <w:pPr>
        <w:numPr>
          <w:ilvl w:val="0"/>
          <w:numId w:val="5"/>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распространение/воспроизведение произведения или его отдельной части на русском и английском языке в любой материальной форме, в том числе на бумажном и электронном носителе, в журналах и/или базах данных, в виде текста, изображений, в другом электронном формате или в других форматах или на других носителях, которые существуют на данный момент или могут быть изобретены в будущем, конечным пользователям посредством повторного лицензирования или продажи информационных продуктов с использованием таких носителей, как лазерные диски, магнитная лента, интернет-узлы, интернет-сервисы, и других электронных или оптических носителей или форматов, которые известны на данный момент или будут изобретены в будущем на территории РФ и за ее пределами, где произведение подлежит правовой охране;</w:t>
      </w:r>
    </w:p>
    <w:p w:rsidR="00000000" w:rsidDel="00000000" w:rsidP="00000000" w:rsidRDefault="00000000" w:rsidRPr="00000000" w14:paraId="00000010">
      <w:pPr>
        <w:numPr>
          <w:ilvl w:val="0"/>
          <w:numId w:val="5"/>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(в т. ч. через Интернет);</w:t>
      </w:r>
    </w:p>
    <w:p w:rsidR="00000000" w:rsidDel="00000000" w:rsidP="00000000" w:rsidRDefault="00000000" w:rsidRPr="00000000" w14:paraId="00000011">
      <w:pPr>
        <w:numPr>
          <w:ilvl w:val="0"/>
          <w:numId w:val="5"/>
        </w:numPr>
        <w:shd w:fill="ffffff" w:val="clear"/>
        <w:spacing w:after="16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сублицензировать (выдавать разрешения на использование произведения и его отдельных материалов, без изменения опубликованного в журнале текста произведения) полученные по настоящему соглашению права третьим лицам, путем размещения соответствующей информации на сайте журнала.</w:t>
      </w:r>
    </w:p>
    <w:p w:rsidR="00000000" w:rsidDel="00000000" w:rsidP="00000000" w:rsidRDefault="00000000" w:rsidRPr="00000000" w14:paraId="00000012">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Предоставление прав включает право на обработку формы предоставления произведения для его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w:t>
      </w:r>
    </w:p>
    <w:p w:rsidR="00000000" w:rsidDel="00000000" w:rsidP="00000000" w:rsidRDefault="00000000" w:rsidRPr="00000000" w14:paraId="00000013">
      <w:pPr>
        <w:numPr>
          <w:ilvl w:val="0"/>
          <w:numId w:val="3"/>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авторство публикуемого произведения принадлежит лицу, чье имя указано в качестве автора, исключительные права на произведение не переданы третьим лицам;</w:t>
      </w:r>
    </w:p>
    <w:p w:rsidR="00000000" w:rsidDel="00000000" w:rsidP="00000000" w:rsidRDefault="00000000" w:rsidRPr="00000000" w14:paraId="00000014">
      <w:pPr>
        <w:numPr>
          <w:ilvl w:val="0"/>
          <w:numId w:val="3"/>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произведение является оригинальным, предоставленным на рассмотрение только в редколлегию журнала, и что автор не публиковал его ранее в объеме более 30 % в других печатных и/или электронных изданиях, кроме публикации препринта (рукописи) произведения. Недопустимо представление в редакцию ранее опубликованных статей, а также рукописей, скомпилированных из цитат и пересказов ранее опубликованных научных работ;</w:t>
      </w:r>
    </w:p>
    <w:p w:rsidR="00000000" w:rsidDel="00000000" w:rsidP="00000000" w:rsidRDefault="00000000" w:rsidRPr="00000000" w14:paraId="00000015">
      <w:pPr>
        <w:numPr>
          <w:ilvl w:val="0"/>
          <w:numId w:val="3"/>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произведение содержит все предусмотренные действующим законодательством РФ ссылки на цитируемых авторов и/или издания (материалы), что автором получены все необходимые разрешения на используемые в произведении результаты, факты и иные заимствованные материалы, правообладателем которых автор не является;</w:t>
      </w:r>
    </w:p>
    <w:p w:rsidR="00000000" w:rsidDel="00000000" w:rsidP="00000000" w:rsidRDefault="00000000" w:rsidRPr="00000000" w14:paraId="00000016">
      <w:pPr>
        <w:numPr>
          <w:ilvl w:val="0"/>
          <w:numId w:val="3"/>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автор несет ответственность за присутствие в представляемом материале любых форм заимствования. В случае обнаружения не согласующегося с законодательством об авторском праве и смежных правах заимствования материал безусловно отклоняется, дальнейшее сотрудничество журнала с автором прекращается;</w:t>
      </w:r>
    </w:p>
    <w:p w:rsidR="00000000" w:rsidDel="00000000" w:rsidP="00000000" w:rsidRDefault="00000000" w:rsidRPr="00000000" w14:paraId="00000017">
      <w:pPr>
        <w:numPr>
          <w:ilvl w:val="0"/>
          <w:numId w:val="3"/>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произведение не содержит материалы, не подлежащие опубликованию в открытой печати в соответствии с действующими законодательными актами РФ, и ее опубликование и распространение не приведет к разглашению секретной (конфиденциальной) информации (включая государственную тайну);</w:t>
      </w:r>
    </w:p>
    <w:p w:rsidR="00000000" w:rsidDel="00000000" w:rsidP="00000000" w:rsidRDefault="00000000" w:rsidRPr="00000000" w14:paraId="00000018">
      <w:pPr>
        <w:numPr>
          <w:ilvl w:val="0"/>
          <w:numId w:val="3"/>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автор несет полную ответственность за содержание текста произведения, его научный уровень, авторско-правовую чистоту, включая ответственность перед третьими лицами в случае претензий к редколлегии журнала;</w:t>
      </w:r>
    </w:p>
    <w:p w:rsidR="00000000" w:rsidDel="00000000" w:rsidP="00000000" w:rsidRDefault="00000000" w:rsidRPr="00000000" w14:paraId="00000019">
      <w:pPr>
        <w:numPr>
          <w:ilvl w:val="0"/>
          <w:numId w:val="3"/>
        </w:numPr>
        <w:shd w:fill="ffffff" w:val="clear"/>
        <w:spacing w:after="16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автор обязуется урегулировать претензии со стороны третьих лиц, предъявленные редакции, связанные с нарушением интеллектуальных прав на произведение.</w:t>
      </w:r>
    </w:p>
    <w:p w:rsidR="00000000" w:rsidDel="00000000" w:rsidP="00000000" w:rsidRDefault="00000000" w:rsidRPr="00000000" w14:paraId="0000001A">
      <w:pPr>
        <w:pStyle w:val="Heading3"/>
        <w:keepNext w:val="0"/>
        <w:keepLines w:val="0"/>
        <w:shd w:fill="ffffff" w:val="clear"/>
        <w:spacing w:after="160" w:before="300" w:line="264" w:lineRule="auto"/>
        <w:rPr>
          <w:rFonts w:ascii="Verdana" w:cs="Verdana" w:eastAsia="Verdana" w:hAnsi="Verdana"/>
          <w:color w:val="272727"/>
          <w:sz w:val="30"/>
          <w:szCs w:val="30"/>
          <w:highlight w:val="white"/>
        </w:rPr>
      </w:pPr>
      <w:bookmarkStart w:colFirst="0" w:colLast="0" w:name="_2s26gfp00kc3" w:id="0"/>
      <w:bookmarkEnd w:id="0"/>
      <w:r w:rsidDel="00000000" w:rsidR="00000000" w:rsidRPr="00000000">
        <w:rPr>
          <w:rFonts w:ascii="Verdana" w:cs="Verdana" w:eastAsia="Verdana" w:hAnsi="Verdana"/>
          <w:color w:val="272727"/>
          <w:sz w:val="30"/>
          <w:szCs w:val="30"/>
          <w:highlight w:val="white"/>
          <w:rtl w:val="0"/>
        </w:rPr>
        <w:t xml:space="preserve">Правила оформления рукописи</w:t>
      </w:r>
    </w:p>
    <w:p w:rsidR="00000000" w:rsidDel="00000000" w:rsidP="00000000" w:rsidRDefault="00000000" w:rsidRPr="00000000" w14:paraId="0000001B">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Авторы представляют материалы объемом: статьи – 1 п.л., научного сообщения – 0,5 п.л., а рецензии – одной трети печатного листа на русском языке. Текст должен быть набран одним и тем же шрифтом – Timеs New Roman, высота шрифта – 14 пунктов, в формате Word, межстрочный интервал 1,5. Абзацный отступ – 1,25 см. Все страницы рукописи должны быть пронумерованы. Публикации, превышающие указанный объем, допускаются к рассмотрению только по согласованию с редакцией.</w:t>
      </w:r>
    </w:p>
    <w:p w:rsidR="00000000" w:rsidDel="00000000" w:rsidP="00000000" w:rsidRDefault="00000000" w:rsidRPr="00000000" w14:paraId="0000001C">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В тексте статьи указывается индекс УДК, ФИО автора, место работы, адрес должны быть указаны на русском и английском языках. К материалу должны прилагаться аннотация рукописи, ключевые слова, список литературы на русском и английском языках. Объем аннотации: 1000–1500 знаков с пробелами. При несоблюдении этого требования редколлегия оставляет за собой право вернуть представленный материал автору без рассмотрения.</w:t>
      </w:r>
    </w:p>
    <w:p w:rsidR="00000000" w:rsidDel="00000000" w:rsidP="00000000" w:rsidRDefault="00000000" w:rsidRPr="00000000" w14:paraId="0000001D">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Библиографические ссылки: в тексте в квадратных скобках указываются номер источника, указанного в Списке литературы, номер страницы источника (для монографий и периодических изданий). Например: [12. С. 37].</w:t>
      </w:r>
    </w:p>
    <w:p w:rsidR="00000000" w:rsidDel="00000000" w:rsidP="00000000" w:rsidRDefault="00000000" w:rsidRPr="00000000" w14:paraId="0000001E">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В конце статьи помещается список литературы в порядке цитирования. Библиографическое описание публикации включает: фамилии и инициалы авторов (всех, независимо от их числа), полное название работы, город, название издательства или издающей организации, год издания, том (для многотомных изданий), номер, выпуск (для периодических изданий), объем публикации (количество страниц – для монографии, первая и последняя страницы – для статьи). Ссылки на архивные документы оформляются в виде сноски (текст сноски располагается внизу страницы). В конце статьи авторы могут поместить список использованных обозначений и сокращений.</w:t>
      </w:r>
    </w:p>
    <w:p w:rsidR="00000000" w:rsidDel="00000000" w:rsidP="00000000" w:rsidRDefault="00000000" w:rsidRPr="00000000" w14:paraId="0000001F">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В рукописи статьи на последней странице необходимо указать следующие сведения:</w:t>
      </w:r>
    </w:p>
    <w:p w:rsidR="00000000" w:rsidDel="00000000" w:rsidP="00000000" w:rsidRDefault="00000000" w:rsidRPr="00000000" w14:paraId="00000020">
      <w:pPr>
        <w:numPr>
          <w:ilvl w:val="0"/>
          <w:numId w:val="4"/>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фамилия, имя, отчество (полностью);</w:t>
      </w:r>
    </w:p>
    <w:p w:rsidR="00000000" w:rsidDel="00000000" w:rsidP="00000000" w:rsidRDefault="00000000" w:rsidRPr="00000000" w14:paraId="00000021">
      <w:pPr>
        <w:numPr>
          <w:ilvl w:val="0"/>
          <w:numId w:val="4"/>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 полное наименование организации – основного места работы (с указанием почтового адреса и индекса);</w:t>
      </w:r>
    </w:p>
    <w:p w:rsidR="00000000" w:rsidDel="00000000" w:rsidP="00000000" w:rsidRDefault="00000000" w:rsidRPr="00000000" w14:paraId="00000022">
      <w:pPr>
        <w:numPr>
          <w:ilvl w:val="0"/>
          <w:numId w:val="4"/>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 занимаемая должность;</w:t>
      </w:r>
    </w:p>
    <w:p w:rsidR="00000000" w:rsidDel="00000000" w:rsidP="00000000" w:rsidRDefault="00000000" w:rsidRPr="00000000" w14:paraId="00000023">
      <w:pPr>
        <w:numPr>
          <w:ilvl w:val="0"/>
          <w:numId w:val="4"/>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 ученая степень и звание (если есть);</w:t>
      </w:r>
    </w:p>
    <w:p w:rsidR="00000000" w:rsidDel="00000000" w:rsidP="00000000" w:rsidRDefault="00000000" w:rsidRPr="00000000" w14:paraId="00000024">
      <w:pPr>
        <w:numPr>
          <w:ilvl w:val="0"/>
          <w:numId w:val="4"/>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 воинское или специальное звание (если есть);</w:t>
      </w:r>
    </w:p>
    <w:p w:rsidR="00000000" w:rsidDel="00000000" w:rsidP="00000000" w:rsidRDefault="00000000" w:rsidRPr="00000000" w14:paraId="00000025">
      <w:pPr>
        <w:numPr>
          <w:ilvl w:val="0"/>
          <w:numId w:val="4"/>
        </w:numPr>
        <w:shd w:fill="ffffff" w:val="clear"/>
        <w:spacing w:after="16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 e-mail (обязательно), ORCID, SPIN и т. п. (если есть), номер мобильного, рабочего и / или домашнего телефона (данная информация необходима для оперативного взаимодействия редколлегии с автором).</w:t>
      </w:r>
    </w:p>
    <w:p w:rsidR="00000000" w:rsidDel="00000000" w:rsidP="00000000" w:rsidRDefault="00000000" w:rsidRPr="00000000" w14:paraId="00000026">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Рукопись статьи предоставляется в электронном виде и направляется по адресу: </w:t>
      </w:r>
      <w:r w:rsidDel="00000000" w:rsidR="00000000" w:rsidRPr="00000000">
        <w:rPr>
          <w:rFonts w:ascii="Verdana" w:cs="Verdana" w:eastAsia="Verdana" w:hAnsi="Verdana"/>
          <w:color w:val="00bde8"/>
          <w:sz w:val="24"/>
          <w:szCs w:val="24"/>
          <w:highlight w:val="white"/>
          <w:rtl w:val="0"/>
        </w:rPr>
        <w:t xml:space="preserve">jurisprudence@mail.nsu.ru</w:t>
      </w:r>
      <w:r w:rsidDel="00000000" w:rsidR="00000000" w:rsidRPr="00000000">
        <w:rPr>
          <w:rFonts w:ascii="Verdana" w:cs="Verdana" w:eastAsia="Verdana" w:hAnsi="Verdana"/>
          <w:color w:val="272727"/>
          <w:sz w:val="24"/>
          <w:szCs w:val="24"/>
          <w:highlight w:val="white"/>
          <w:rtl w:val="0"/>
        </w:rPr>
        <w:t xml:space="preserve">. Файл, представляемый в редакцию в электронном виде, должен быть поименован по фамилии автора в латинской графике (например, Ivanov.doc). </w:t>
      </w:r>
    </w:p>
    <w:p w:rsidR="00000000" w:rsidDel="00000000" w:rsidP="00000000" w:rsidRDefault="00000000" w:rsidRPr="00000000" w14:paraId="00000027">
      <w:pPr>
        <w:shd w:fill="ffffff" w:val="clear"/>
        <w:rPr>
          <w:rFonts w:ascii="Verdana" w:cs="Verdana" w:eastAsia="Verdana" w:hAnsi="Verdana"/>
          <w:sz w:val="26"/>
          <w:szCs w:val="26"/>
          <w:highlight w:val="white"/>
          <w:u w:val="single"/>
        </w:rPr>
      </w:pPr>
      <w:r w:rsidDel="00000000" w:rsidR="00000000" w:rsidRPr="00000000">
        <w:fldChar w:fldCharType="begin"/>
        <w:instrText xml:space="preserve"> HYPERLINK "https://journals.nsu.ru/upload/iblock/069/%D0%9E%D0%B1%D1%80%D0%B0%D0%B7%D0%B5%D1%86-%D0%BE%D1%84%D0%BE%D1%80%D0%BC%D0%BB%D0%B5%D0%BD%D0%B8%D1%8F-%D1%81%D1%82%D0%B0%D1%82%D1%8C%D0%B8.pdf" </w:instrText>
        <w:fldChar w:fldCharType="separate"/>
      </w:r>
      <w:r w:rsidDel="00000000" w:rsidR="00000000" w:rsidRPr="00000000">
        <w:rPr>
          <w:rFonts w:ascii="Verdana" w:cs="Verdana" w:eastAsia="Verdana" w:hAnsi="Verdana"/>
          <w:sz w:val="26"/>
          <w:szCs w:val="26"/>
          <w:highlight w:val="white"/>
          <w:u w:val="single"/>
          <w:rtl w:val="0"/>
        </w:rPr>
        <w:t xml:space="preserve">Образец оформления статьи</w:t>
      </w:r>
    </w:p>
    <w:p w:rsidR="00000000" w:rsidDel="00000000" w:rsidP="00000000" w:rsidRDefault="00000000" w:rsidRPr="00000000" w14:paraId="00000028">
      <w:pPr>
        <w:shd w:fill="ffffff" w:val="clear"/>
        <w:rPr>
          <w:rFonts w:ascii="Verdana" w:cs="Verdana" w:eastAsia="Verdana" w:hAnsi="Verdana"/>
          <w:color w:val="00bde8"/>
          <w:sz w:val="24"/>
          <w:szCs w:val="24"/>
          <w:highlight w:val="white"/>
          <w:u w:val="single"/>
        </w:rPr>
      </w:pPr>
      <w:r w:rsidDel="00000000" w:rsidR="00000000" w:rsidRPr="00000000">
        <w:fldChar w:fldCharType="end"/>
      </w:r>
      <w:r w:rsidDel="00000000" w:rsidR="00000000" w:rsidRPr="00000000">
        <w:fldChar w:fldCharType="begin"/>
        <w:instrText xml:space="preserve"> HYPERLINK "https://journals.nsu.ru/upload/iblock/069/%D0%9E%D0%B1%D1%80%D0%B0%D0%B7%D0%B5%D1%86-%D0%BE%D1%84%D0%BE%D1%80%D0%BC%D0%BB%D0%B5%D0%BD%D0%B8%D1%8F-%D1%81%D1%82%D0%B0%D1%82%D1%8C%D0%B8.pdf" </w:instrText>
        <w:fldChar w:fldCharType="separate"/>
      </w:r>
      <w:r w:rsidDel="00000000" w:rsidR="00000000" w:rsidRPr="00000000">
        <w:rPr>
          <w:rFonts w:ascii="Verdana" w:cs="Verdana" w:eastAsia="Verdana" w:hAnsi="Verdana"/>
          <w:color w:val="00bde8"/>
          <w:sz w:val="24"/>
          <w:szCs w:val="24"/>
          <w:highlight w:val="white"/>
          <w:u w:val="single"/>
          <w:rtl w:val="0"/>
        </w:rPr>
        <w:t xml:space="preserve">Открыть</w:t>
      </w:r>
    </w:p>
    <w:p w:rsidR="00000000" w:rsidDel="00000000" w:rsidP="00000000" w:rsidRDefault="00000000" w:rsidRPr="00000000" w14:paraId="00000029">
      <w:pPr>
        <w:pStyle w:val="Heading3"/>
        <w:keepNext w:val="0"/>
        <w:keepLines w:val="0"/>
        <w:shd w:fill="ffffff" w:val="clear"/>
        <w:spacing w:after="160" w:before="300" w:line="264" w:lineRule="auto"/>
        <w:rPr>
          <w:rFonts w:ascii="Verdana" w:cs="Verdana" w:eastAsia="Verdana" w:hAnsi="Verdana"/>
          <w:color w:val="272727"/>
          <w:sz w:val="30"/>
          <w:szCs w:val="30"/>
          <w:highlight w:val="white"/>
        </w:rPr>
      </w:pPr>
      <w:bookmarkStart w:colFirst="0" w:colLast="0" w:name="_35t8y3fxi5nq" w:id="1"/>
      <w:bookmarkEnd w:id="1"/>
      <w:r w:rsidDel="00000000" w:rsidR="00000000" w:rsidRPr="00000000">
        <w:fldChar w:fldCharType="end"/>
      </w:r>
      <w:r w:rsidDel="00000000" w:rsidR="00000000" w:rsidRPr="00000000">
        <w:rPr>
          <w:rFonts w:ascii="Verdana" w:cs="Verdana" w:eastAsia="Verdana" w:hAnsi="Verdana"/>
          <w:color w:val="272727"/>
          <w:sz w:val="30"/>
          <w:szCs w:val="30"/>
          <w:highlight w:val="white"/>
          <w:rtl w:val="0"/>
        </w:rPr>
        <w:t xml:space="preserve">Рецензирование</w:t>
      </w:r>
    </w:p>
    <w:p w:rsidR="00000000" w:rsidDel="00000000" w:rsidP="00000000" w:rsidRDefault="00000000" w:rsidRPr="00000000" w14:paraId="0000002A">
      <w:pPr>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Все научные статьи, поступившие в редакцию журнала «Юридическая наука и практика», проходят обязательное одностороннее анонимное («слепое») рецензирование (авторы рукописи не знают рецензентов и получают письмо с замечаниями за подписью главного редактора).</w:t>
      </w:r>
    </w:p>
    <w:p w:rsidR="00000000" w:rsidDel="00000000" w:rsidP="00000000" w:rsidRDefault="00000000" w:rsidRPr="00000000" w14:paraId="0000002B">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1.Рецензирование статей осуществляется членами редакционной коллегии, а также приглашенными рецензентами – ведущими специалистами в юриспруденции России и других стран. Решение о выборе того или иного рецензента для проведения экспертизы статьи принимает главный редактор или заместитель главного редактора. Срок рецензирования составляет 4 недели, но по просьбе рецензента он может быть продлен.</w:t>
      </w:r>
    </w:p>
    <w:p w:rsidR="00000000" w:rsidDel="00000000" w:rsidP="00000000" w:rsidRDefault="00000000" w:rsidRPr="00000000" w14:paraId="0000002C">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Каждая статья направляется 2 рецензентам.</w:t>
      </w:r>
    </w:p>
    <w:p w:rsidR="00000000" w:rsidDel="00000000" w:rsidP="00000000" w:rsidRDefault="00000000" w:rsidRPr="00000000" w14:paraId="0000002D">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Каждый рецензент имеет право отказаться от рецензии в случае наличия явного конфликта интересов, отражающегося на восприятии и интерпретации материалов рукописи. По итогам рассмотрения рукописи рецензент даёт рекомендации о дальнейшей судьбе статьи (каждое решение рецензента обосновывается).</w:t>
      </w:r>
    </w:p>
    <w:p w:rsidR="00000000" w:rsidDel="00000000" w:rsidP="00000000" w:rsidRDefault="00000000" w:rsidRPr="00000000" w14:paraId="0000002E">
      <w:pPr>
        <w:numPr>
          <w:ilvl w:val="0"/>
          <w:numId w:val="1"/>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статья рекомендуется к публикации в настоящем виде;</w:t>
      </w:r>
    </w:p>
    <w:p w:rsidR="00000000" w:rsidDel="00000000" w:rsidP="00000000" w:rsidRDefault="00000000" w:rsidRPr="00000000" w14:paraId="0000002F">
      <w:pPr>
        <w:numPr>
          <w:ilvl w:val="0"/>
          <w:numId w:val="1"/>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 статья рекомендуется к публикации после исправления отмеченных рецензентом недостатков;</w:t>
      </w:r>
    </w:p>
    <w:p w:rsidR="00000000" w:rsidDel="00000000" w:rsidP="00000000" w:rsidRDefault="00000000" w:rsidRPr="00000000" w14:paraId="00000030">
      <w:pPr>
        <w:numPr>
          <w:ilvl w:val="0"/>
          <w:numId w:val="1"/>
        </w:numPr>
        <w:shd w:fill="ffffff" w:val="clear"/>
        <w:spacing w:after="0" w:afterAutospacing="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 статья нуждается в дополнительном рецензировании другим специалистом;</w:t>
      </w:r>
    </w:p>
    <w:p w:rsidR="00000000" w:rsidDel="00000000" w:rsidP="00000000" w:rsidRDefault="00000000" w:rsidRPr="00000000" w14:paraId="00000031">
      <w:pPr>
        <w:numPr>
          <w:ilvl w:val="0"/>
          <w:numId w:val="1"/>
        </w:numPr>
        <w:shd w:fill="ffffff" w:val="clear"/>
        <w:spacing w:after="160" w:lineRule="auto"/>
        <w:ind w:left="1100" w:hanging="360"/>
        <w:rPr>
          <w:rFonts w:ascii="Verdana" w:cs="Verdana" w:eastAsia="Verdana" w:hAnsi="Verdana"/>
          <w:highlight w:val="white"/>
        </w:rPr>
      </w:pPr>
      <w:r w:rsidDel="00000000" w:rsidR="00000000" w:rsidRPr="00000000">
        <w:rPr>
          <w:rFonts w:ascii="Verdana" w:cs="Verdana" w:eastAsia="Verdana" w:hAnsi="Verdana"/>
          <w:color w:val="272727"/>
          <w:sz w:val="24"/>
          <w:szCs w:val="24"/>
          <w:highlight w:val="white"/>
          <w:rtl w:val="0"/>
        </w:rPr>
        <w:t xml:space="preserve"> статья не может быть опубликована в журнале.</w:t>
      </w:r>
    </w:p>
    <w:p w:rsidR="00000000" w:rsidDel="00000000" w:rsidP="00000000" w:rsidRDefault="00000000" w:rsidRPr="00000000" w14:paraId="00000032">
      <w:pPr>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Если в рецензии содержатся рекомендации по исправлению и доработке статьи, редакция журнала направляет автору текст рецензии с предложением учесть их при подготовке нового варианта статьи или аргументировано (частично или полностью) их опровергнуть. Возвращение рукописи на доработку не означает, что статья принята к печати. Доработанный вариант необходимо прислать в редакцию вместе с ее начальной версией, рецензией ответом на замечания рецензента не позднее двух месяцев со дня его отсылки. В противном случае первоначальная дата поступления статьи при публикации не указывается. Доработанная автором статья повторно направляется на рецензирование.</w:t>
      </w:r>
    </w:p>
    <w:p w:rsidR="00000000" w:rsidDel="00000000" w:rsidP="00000000" w:rsidRDefault="00000000" w:rsidRPr="00000000" w14:paraId="00000033">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4 В случае отказа авторов от доработки материалов, они должны в письменной или устной форме уведомить редакцию о своем отказе от публикации статьи. Если авторы не возвращают доработанный вариант по истечении 3 месяцев со дня отправки рецензии, даже при отсутствии сведений от авторов с отказом от доработки статьи, редакция снимает её с учета. В подобных ситуациях авторам направляется соответствующее уведомление о снятии рукописи с регистрации в связи с истечением срока, отведенного на доработку.</w:t>
      </w:r>
    </w:p>
    <w:p w:rsidR="00000000" w:rsidDel="00000000" w:rsidP="00000000" w:rsidRDefault="00000000" w:rsidRPr="00000000" w14:paraId="00000034">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5.Если у автора и рецензентов возникли неразрешимые противоречия относительно рукописи, редколлегия вправе направить рукопись на дополнительное рецензирование. В конфликтных ситуациях решение принимает главный редактор на заседании редакционной коллегии.</w:t>
      </w:r>
    </w:p>
    <w:p w:rsidR="00000000" w:rsidDel="00000000" w:rsidP="00000000" w:rsidRDefault="00000000" w:rsidRPr="00000000" w14:paraId="00000035">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6.Решение об отказе в публикации рукописи принимается на заседании редакционной коллегии в соответствие с рекомендациями рецензентов. Статья, не рекомендованная решением редакционной коллегии к публикации, к повторному рассмотрению не принимается. Сообщение об отказе в публикации направляется автору по электронной почте.</w:t>
      </w:r>
    </w:p>
    <w:p w:rsidR="00000000" w:rsidDel="00000000" w:rsidP="00000000" w:rsidRDefault="00000000" w:rsidRPr="00000000" w14:paraId="00000036">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7. После принятия редколлегией журнала решения о допуске статьи к публикации редакция информирует об этом автора и указывает сроки публикации.</w:t>
      </w:r>
    </w:p>
    <w:p w:rsidR="00000000" w:rsidDel="00000000" w:rsidP="00000000" w:rsidRDefault="00000000" w:rsidRPr="00000000" w14:paraId="00000037">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8. Наличие положительной рецензии не является достаточным основанием для публикации статьи. Окончательное решение о публикации принимается редакционной коллегией. В конфликтных ситуациях решение принимает главный редактор.</w:t>
      </w:r>
    </w:p>
    <w:p w:rsidR="00000000" w:rsidDel="00000000" w:rsidP="00000000" w:rsidRDefault="00000000" w:rsidRPr="00000000" w14:paraId="00000038">
      <w:pPr>
        <w:shd w:fill="ffffff" w:val="clear"/>
        <w:spacing w:after="160" w:lineRule="auto"/>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9. Оригиналы рецензий хранятся в редакции журнала в течение 3 лет.</w:t>
      </w:r>
    </w:p>
    <w:p w:rsidR="00000000" w:rsidDel="00000000" w:rsidP="00000000" w:rsidRDefault="00000000" w:rsidRPr="00000000" w14:paraId="00000039">
      <w:pPr>
        <w:pStyle w:val="Heading3"/>
        <w:keepNext w:val="0"/>
        <w:keepLines w:val="0"/>
        <w:shd w:fill="ffffff" w:val="clear"/>
        <w:spacing w:after="160" w:before="300" w:line="264" w:lineRule="auto"/>
        <w:rPr>
          <w:rFonts w:ascii="Verdana" w:cs="Verdana" w:eastAsia="Verdana" w:hAnsi="Verdana"/>
          <w:color w:val="272727"/>
          <w:sz w:val="30"/>
          <w:szCs w:val="30"/>
          <w:highlight w:val="white"/>
        </w:rPr>
      </w:pPr>
      <w:bookmarkStart w:colFirst="0" w:colLast="0" w:name="_jr6jx617b6bc" w:id="2"/>
      <w:bookmarkEnd w:id="2"/>
      <w:r w:rsidDel="00000000" w:rsidR="00000000" w:rsidRPr="00000000">
        <w:rPr>
          <w:rFonts w:ascii="Verdana" w:cs="Verdana" w:eastAsia="Verdana" w:hAnsi="Verdana"/>
          <w:color w:val="272727"/>
          <w:sz w:val="30"/>
          <w:szCs w:val="30"/>
          <w:highlight w:val="white"/>
          <w:rtl w:val="0"/>
        </w:rPr>
        <w:t xml:space="preserve">Адрес редакционной коллегии Институт философии и права Новосибирского государственного университета</w:t>
      </w:r>
    </w:p>
    <w:p w:rsidR="00000000" w:rsidDel="00000000" w:rsidP="00000000" w:rsidRDefault="00000000" w:rsidRPr="00000000" w14:paraId="0000003A">
      <w:pPr>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639990, Россия, г. Новосибирск, ул. Пирогова, 1</w:t>
      </w:r>
    </w:p>
    <w:p w:rsidR="00000000" w:rsidDel="00000000" w:rsidP="00000000" w:rsidRDefault="00000000" w:rsidRPr="00000000" w14:paraId="0000003B">
      <w:pPr>
        <w:rPr>
          <w:rFonts w:ascii="Verdana" w:cs="Verdana" w:eastAsia="Verdana" w:hAnsi="Verdana"/>
          <w:color w:val="272727"/>
          <w:sz w:val="24"/>
          <w:szCs w:val="24"/>
          <w:highlight w:val="white"/>
        </w:rPr>
      </w:pPr>
      <w:r w:rsidDel="00000000" w:rsidR="00000000" w:rsidRPr="00000000">
        <w:rPr>
          <w:rFonts w:ascii="Verdana" w:cs="Verdana" w:eastAsia="Verdana" w:hAnsi="Verdana"/>
          <w:color w:val="272727"/>
          <w:sz w:val="24"/>
          <w:szCs w:val="24"/>
          <w:highlight w:val="white"/>
          <w:rtl w:val="0"/>
        </w:rPr>
        <w:t xml:space="preserve">Тел.: +7 (383) 266 73 79</w:t>
      </w:r>
    </w:p>
    <w:p w:rsidR="00000000" w:rsidDel="00000000" w:rsidP="00000000" w:rsidRDefault="00000000" w:rsidRPr="00000000" w14:paraId="0000003C">
      <w:pPr>
        <w:rPr>
          <w:b w:val="1"/>
          <w:color w:val="333333"/>
          <w:sz w:val="28"/>
          <w:szCs w:val="28"/>
          <w:highlight w:val="white"/>
        </w:rPr>
      </w:pPr>
      <w:r w:rsidDel="00000000" w:rsidR="00000000" w:rsidRPr="00000000">
        <w:rPr>
          <w:rFonts w:ascii="Verdana" w:cs="Verdana" w:eastAsia="Verdana" w:hAnsi="Verdana"/>
          <w:color w:val="272727"/>
          <w:sz w:val="24"/>
          <w:szCs w:val="24"/>
          <w:highlight w:val="white"/>
          <w:rtl w:val="0"/>
        </w:rPr>
        <w:t xml:space="preserve">E-mail: </w:t>
      </w:r>
      <w:r w:rsidDel="00000000" w:rsidR="00000000" w:rsidRPr="00000000">
        <w:rPr>
          <w:rFonts w:ascii="Verdana" w:cs="Verdana" w:eastAsia="Verdana" w:hAnsi="Verdana"/>
          <w:color w:val="00bde8"/>
          <w:sz w:val="24"/>
          <w:szCs w:val="24"/>
          <w:highlight w:val="white"/>
          <w:rtl w:val="0"/>
        </w:rPr>
        <w:t xml:space="preserve">jurisprudence@mail.nsu.ru</w:t>
      </w: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7272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7272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7272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27272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27272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