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firstLine="70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К публикации принимаются ранее не опубликованные материалы (оригинальность текста не менее 75%), отражающие результаты исследований авторов.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Автор(ы):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несут ответственность за достоверность изложенных в рукописи результатов исследования;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32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ручаются за то, что ими не нарушены авторские права третьих лиц, а в тексте рукописи нет некорректных или незаконных заимствований.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Отправляемые в редакцию статьи должны соответствовать следующим требованиям. В верхнем левом углу статьи требуется указать код УДК (классификация приведена на сайте </w:t>
      </w:r>
      <w:hyperlink r:id="rId6">
        <w:r w:rsidDel="00000000" w:rsidR="00000000" w:rsidRPr="00000000">
          <w:rPr>
            <w:color w:val="0072bc"/>
            <w:sz w:val="27"/>
            <w:szCs w:val="27"/>
            <w:highlight w:val="white"/>
            <w:rtl w:val="0"/>
          </w:rPr>
          <w:t xml:space="preserve">http://teacode.com/online/udc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). По центру страницы заглавными буквами с применением полужирного начертания указывается заголовок на русском языке: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03030"/>
          <w:sz w:val="28"/>
          <w:szCs w:val="28"/>
          <w:highlight w:val="white"/>
          <w:rtl w:val="0"/>
        </w:rPr>
        <w:t xml:space="preserve">НАЗВАНИЕ СТАТЬИ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. Далее указывается фамилия и инициалы автора статьи (с применением полужирного курсивного начертания и выравнивания по левому краю); на следующей строке (с применением курсивного начертания и выравнивания по левому краю) – ученая степень, ученое звание, должность, название вуза, страна, город. Если авторов статьи несколько, то информация повторяется для каждого автора рукописи.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ind w:firstLine="70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На следующей строке приводится аннотация рукописи. Рекомендуемый объем аннотации - 50-150 слов. Аннотация должна содержать сведения об основной идее и цели исследования, описывать полученные результаты, включать основные выводы.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firstLine="70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После аннотации приводятся ключевые слова, отражающие основное содержание статьи (не менее 5 слов или словосочетаний).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firstLine="70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Указанная выше информация (название статьи, данные об авторах, аннотация, ключевые слова) дублируется на английском языке.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center"/>
        <w:rPr>
          <w:b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color w:val="303030"/>
          <w:sz w:val="30"/>
          <w:szCs w:val="30"/>
          <w:highlight w:val="white"/>
          <w:rtl w:val="0"/>
        </w:rPr>
        <w:t xml:space="preserve">Оформление текста статьи</w:t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554.6506467200816"/>
        <w:gridCol w:w="6417.632817846847"/>
        <w:tblGridChange w:id="0">
          <w:tblGrid>
            <w:gridCol w:w="3554.6506467200816"/>
            <w:gridCol w:w="6417.632817846847"/>
          </w:tblGrid>
        </w:tblGridChange>
      </w:tblGrid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Объем рукописи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6000 – 30000 печатных знаков (включая пробелы)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Редактор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Microsoft Word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Формат страницы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А4 (210x297 мм)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Поля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2 см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Кегль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14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Шрифт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Times New Roman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Межстрочный интервал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1,5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Абзацный отступ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1,25 см</w:t>
            </w:r>
          </w:p>
        </w:tc>
      </w:tr>
      <w:tr>
        <w:trPr>
          <w:trHeight w:val="61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Ориентация листа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    Книжная (допускается применение альбомной ориентации для больших таблиц и рисунков)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center"/>
        <w:rPr>
          <w:b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color w:val="303030"/>
          <w:sz w:val="30"/>
          <w:szCs w:val="30"/>
          <w:highlight w:val="white"/>
          <w:rtl w:val="0"/>
        </w:rPr>
        <w:t xml:space="preserve">Оформление рисунков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Рисунки должны быть выполнены в черно-белом исполнении средствами компьютерной графики. Все рисунки должны быть пронумерованы (Рис. 1, Рис. 2 и т.д.) и иметь подрисуночные подписи, которые не выделяются жирным шрифтом. Номер рисунка и подрисуночная подпись располагаются под рисунком с выравниванием по центру страницы. На все рисунки должны быть даны ссылки в тексте статьи. 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jc w:val="center"/>
        <w:rPr>
          <w:b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color w:val="303030"/>
          <w:sz w:val="30"/>
          <w:szCs w:val="30"/>
          <w:highlight w:val="white"/>
          <w:rtl w:val="0"/>
        </w:rPr>
        <w:t xml:space="preserve">Оформление таблиц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    </w:t>
        <w:tab/>
        <w:t xml:space="preserve">Табличные рамки должны быть выполнены в черно-белом исполнении и не должны выделяться жирной чертой. Все таблицы должны быть пронумерованы (Таблица 1, Таблица 2 и т.д.). Каждая таблица должна иметь заголовок. Ссылки на таблицы в тексте обязательны. Оформление текста в таблице: Times New Roman, 12, межстрочный интервал – 1.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jc w:val="center"/>
        <w:rPr>
          <w:b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color w:val="303030"/>
          <w:sz w:val="30"/>
          <w:szCs w:val="30"/>
          <w:highlight w:val="white"/>
          <w:rtl w:val="0"/>
        </w:rPr>
        <w:t xml:space="preserve">Оформление списка литературы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       В конце статьи помещается список литературы, который оформляется в соответствии с ГОСТ Р.7.0.5-2008. Источники приводятся в алфавитном порядке.  При ссылке на литературный источник в тексте приводится порядковый номер работы в квадратных скобках (например, [1], [2; 3]). Если указывается страница (страницы), это оформляется следующим образом: [2, 300]; [2, 200-201; 3, 11]. Примеры оформления библиографических ссылок приведены ниже.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 Средняя длина списка литературы - 15 позиций. При этом доля самоцитирований, а также ссылок на работы одного автора не должна превышать 20% от общего количества ссылок.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jc w:val="center"/>
        <w:rPr>
          <w:color w:val="303030"/>
          <w:sz w:val="30"/>
          <w:szCs w:val="30"/>
          <w:highlight w:val="white"/>
        </w:rPr>
      </w:pPr>
      <w:r w:rsidDel="00000000" w:rsidR="00000000" w:rsidRPr="00000000">
        <w:rPr>
          <w:color w:val="303030"/>
          <w:sz w:val="30"/>
          <w:szCs w:val="30"/>
          <w:highlight w:val="white"/>
          <w:rtl w:val="0"/>
        </w:rPr>
        <w:t xml:space="preserve"> Пример оформления текста статьи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УДК 338.24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jc w:val="center"/>
        <w:rPr>
          <w:b w:val="1"/>
          <w:i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i w:val="1"/>
          <w:color w:val="303030"/>
          <w:sz w:val="30"/>
          <w:szCs w:val="30"/>
          <w:highlight w:val="white"/>
          <w:rtl w:val="0"/>
        </w:rPr>
        <w:t xml:space="preserve">ИННОВАЦИОННОЕ РАЗВИТИЕ РЕГИОНА</w:t>
      </w:r>
    </w:p>
    <w:p w:rsidR="00000000" w:rsidDel="00000000" w:rsidP="00000000" w:rsidRDefault="00000000" w:rsidRPr="00000000" w14:paraId="0000002A">
      <w:pPr>
        <w:shd w:fill="ffffff" w:val="clear"/>
        <w:rPr>
          <w:b w:val="1"/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03030"/>
          <w:sz w:val="27"/>
          <w:szCs w:val="27"/>
          <w:highlight w:val="white"/>
          <w:rtl w:val="0"/>
        </w:rPr>
        <w:t xml:space="preserve">Иванов А.А.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к.э.н., доцент,</w:t>
      </w:r>
    </w:p>
    <w:p w:rsidR="00000000" w:rsidDel="00000000" w:rsidP="00000000" w:rsidRDefault="00000000" w:rsidRPr="00000000" w14:paraId="0000002C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Пермский национальный исследовательский политехнический университет,</w:t>
      </w:r>
    </w:p>
    <w:p w:rsidR="00000000" w:rsidDel="00000000" w:rsidP="00000000" w:rsidRDefault="00000000" w:rsidRPr="00000000" w14:paraId="0000002D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Пермь, Россия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rPr>
          <w:b w:val="1"/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03030"/>
          <w:sz w:val="27"/>
          <w:szCs w:val="27"/>
          <w:highlight w:val="white"/>
          <w:rtl w:val="0"/>
        </w:rPr>
        <w:t xml:space="preserve">Иванова А.А.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аспирант,</w:t>
      </w:r>
    </w:p>
    <w:p w:rsidR="00000000" w:rsidDel="00000000" w:rsidP="00000000" w:rsidRDefault="00000000" w:rsidRPr="00000000" w14:paraId="00000031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Самарский государственный технический университет,</w:t>
      </w:r>
    </w:p>
    <w:p w:rsidR="00000000" w:rsidDel="00000000" w:rsidP="00000000" w:rsidRDefault="00000000" w:rsidRPr="00000000" w14:paraId="00000032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Самара, Россия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jc w:val="both"/>
        <w:rPr>
          <w:b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color w:val="303030"/>
          <w:sz w:val="27"/>
          <w:szCs w:val="27"/>
          <w:highlight w:val="white"/>
          <w:rtl w:val="0"/>
        </w:rPr>
        <w:t xml:space="preserve">Аннотация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color w:val="303030"/>
          <w:sz w:val="27"/>
          <w:szCs w:val="27"/>
          <w:highlight w:val="white"/>
          <w:rtl w:val="0"/>
        </w:rPr>
        <w:t xml:space="preserve">Ключевые слова:</w:t>
      </w: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текст, текст, текст, текст, текст, текст, текст, текст, текст, текст.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jc w:val="center"/>
        <w:rPr>
          <w:b w:val="1"/>
          <w:i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i w:val="1"/>
          <w:color w:val="303030"/>
          <w:sz w:val="30"/>
          <w:szCs w:val="30"/>
          <w:highlight w:val="white"/>
          <w:rtl w:val="0"/>
        </w:rPr>
        <w:t xml:space="preserve">INNOVATIVE DEVELOPMENT OF THE REGION</w:t>
      </w:r>
    </w:p>
    <w:p w:rsidR="00000000" w:rsidDel="00000000" w:rsidP="00000000" w:rsidRDefault="00000000" w:rsidRPr="00000000" w14:paraId="0000003A">
      <w:pPr>
        <w:shd w:fill="ffffff" w:val="clear"/>
        <w:rPr>
          <w:b w:val="1"/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03030"/>
          <w:sz w:val="27"/>
          <w:szCs w:val="27"/>
          <w:highlight w:val="white"/>
          <w:rtl w:val="0"/>
        </w:rPr>
        <w:t xml:space="preserve">Ivanov A.A.</w:t>
      </w:r>
    </w:p>
    <w:p w:rsidR="00000000" w:rsidDel="00000000" w:rsidP="00000000" w:rsidRDefault="00000000" w:rsidRPr="00000000" w14:paraId="0000003B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PhD, Associate Professor,</w:t>
      </w:r>
    </w:p>
    <w:p w:rsidR="00000000" w:rsidDel="00000000" w:rsidP="00000000" w:rsidRDefault="00000000" w:rsidRPr="00000000" w14:paraId="0000003C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Perm National Research Polytechnic University, Perm, Russia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rPr>
          <w:b w:val="1"/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03030"/>
          <w:sz w:val="27"/>
          <w:szCs w:val="27"/>
          <w:highlight w:val="white"/>
          <w:rtl w:val="0"/>
        </w:rPr>
        <w:t xml:space="preserve">Ivanova A.A.</w:t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graduate student,</w:t>
      </w:r>
    </w:p>
    <w:p w:rsidR="00000000" w:rsidDel="00000000" w:rsidP="00000000" w:rsidRDefault="00000000" w:rsidRPr="00000000" w14:paraId="00000040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Samara State Technical University,</w:t>
      </w:r>
    </w:p>
    <w:p w:rsidR="00000000" w:rsidDel="00000000" w:rsidP="00000000" w:rsidRDefault="00000000" w:rsidRPr="00000000" w14:paraId="00000041">
      <w:pPr>
        <w:shd w:fill="ffffff" w:val="clear"/>
        <w:rPr>
          <w:i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i w:val="1"/>
          <w:color w:val="303030"/>
          <w:sz w:val="27"/>
          <w:szCs w:val="27"/>
          <w:highlight w:val="white"/>
          <w:rtl w:val="0"/>
        </w:rPr>
        <w:t xml:space="preserve">Samara, Russia 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jc w:val="both"/>
        <w:rPr>
          <w:b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color w:val="303030"/>
          <w:sz w:val="27"/>
          <w:szCs w:val="27"/>
          <w:highlight w:val="white"/>
          <w:rtl w:val="0"/>
        </w:rPr>
        <w:t xml:space="preserve">Annotation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jc w:val="both"/>
        <w:rPr>
          <w:b w:val="1"/>
          <w:color w:val="303030"/>
          <w:sz w:val="27"/>
          <w:szCs w:val="27"/>
          <w:highlight w:val="white"/>
        </w:rPr>
      </w:pPr>
      <w:r w:rsidDel="00000000" w:rsidR="00000000" w:rsidRPr="00000000">
        <w:rPr>
          <w:b w:val="1"/>
          <w:color w:val="303030"/>
          <w:sz w:val="27"/>
          <w:szCs w:val="27"/>
          <w:highlight w:val="white"/>
          <w:rtl w:val="0"/>
        </w:rPr>
        <w:t xml:space="preserve">Keywords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Текст.Текст.Текст.Текст.Текст.Текст.Текст.Текст. Текст.Текст.Текст.Текст.Текст.Текст.Текст (рис.1).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color w:val="303030"/>
          <w:sz w:val="27"/>
          <w:szCs w:val="27"/>
          <w:highlight w:val="white"/>
        </w:rPr>
        <w:drawing>
          <wp:inline distB="114300" distT="114300" distL="114300" distR="114300">
            <wp:extent cx="6332400" cy="1435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jc w:val="center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Рис.1 – Характеристика инноваций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    </w:t>
        <w:tab/>
        <w:t xml:space="preserve">Текст.Текст.Текст.Текст.Текст.Текст.Текст.Текст.Текст.Текст.Текст. Текст. Текст. Текст. Текст.Текст. Текст. Текст [1, с. 14].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Текст.Текст.Текст.Текст.Текст.Текст.Текст.Текст. Текст.Текст.Текст.Текст.Текст.Текст.Текст (таблица 1).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Таблица 1 – Факторы инновационного развития</w:t>
      </w:r>
    </w:p>
    <w:tbl>
      <w:tblPr>
        <w:tblStyle w:val="Table2"/>
        <w:tblW w:w="9972.283464566928" w:type="dxa"/>
        <w:jc w:val="left"/>
        <w:tblInd w:w="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664.2362342743967"/>
        <w:gridCol w:w="2805.5240947642283"/>
        <w:gridCol w:w="1625.630783882076"/>
        <w:gridCol w:w="1625.630783882076"/>
        <w:gridCol w:w="1625.630783882076"/>
        <w:gridCol w:w="1625.630783882076"/>
        <w:tblGridChange w:id="0">
          <w:tblGrid>
            <w:gridCol w:w="664.2362342743967"/>
            <w:gridCol w:w="2805.5240947642283"/>
            <w:gridCol w:w="1625.630783882076"/>
            <w:gridCol w:w="1625.630783882076"/>
            <w:gridCol w:w="1625.630783882076"/>
            <w:gridCol w:w="1625.630783882076"/>
          </w:tblGrid>
        </w:tblGridChange>
      </w:tblGrid>
      <w:tr>
        <w:trPr>
          <w:trHeight w:val="43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</w:tr>
      <w:tr>
        <w:trPr>
          <w:trHeight w:val="43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</w:tr>
      <w:tr>
        <w:trPr>
          <w:trHeight w:val="43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color w:val="303030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color w:val="303030"/>
                <w:sz w:val="27"/>
                <w:szCs w:val="27"/>
                <w:highlight w:val="white"/>
                <w:rtl w:val="0"/>
              </w:rPr>
              <w:t xml:space="preserve">Текст</w:t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        </w:t>
        <w:tab/>
        <w:t xml:space="preserve"> </w:t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jc w:val="both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jc w:val="center"/>
        <w:rPr>
          <w:b w:val="1"/>
          <w:color w:val="303030"/>
          <w:sz w:val="30"/>
          <w:szCs w:val="30"/>
          <w:highlight w:val="white"/>
        </w:rPr>
      </w:pPr>
      <w:r w:rsidDel="00000000" w:rsidR="00000000" w:rsidRPr="00000000">
        <w:rPr>
          <w:b w:val="1"/>
          <w:color w:val="303030"/>
          <w:sz w:val="30"/>
          <w:szCs w:val="30"/>
          <w:highlight w:val="white"/>
          <w:rtl w:val="0"/>
        </w:rPr>
        <w:t xml:space="preserve">Библиографический список:</w:t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1.     Боброва Е.А. Учетно-аналитическая система учета затрат на производство: виды учета и аудита  / Е.А. Боброва // Аудиторские ведомости. – 2007. - №2. – С.27-28.</w:t>
      </w:r>
    </w:p>
    <w:p w:rsidR="00000000" w:rsidDel="00000000" w:rsidP="00000000" w:rsidRDefault="00000000" w:rsidRPr="00000000" w14:paraId="00000063">
      <w:pPr>
        <w:shd w:fill="ffffff" w:val="clear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2.  Вандина О.Г. Понятие учетно-аналитической системы и ее роль в управлении  предприятием / О.Г. Вандина // Экономические науки. – 2014. - №7 [Электронный ресурс]. — Режим доступа —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72bc"/>
            <w:sz w:val="27"/>
            <w:szCs w:val="27"/>
            <w:highlight w:val="white"/>
            <w:rtl w:val="0"/>
          </w:rPr>
          <w:t xml:space="preserve">http://www.rusnauka.com/20_AND_2014/Economics/7_174062.doc.htm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 (Дата обращения 21.11.2014)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3.     Едронова В. Н. Общая теория статистики / В. Н. Едронова, М. В. Едронова. – М.: Юрист, 2001. – 512 с.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4. Экономика и социология труда: учеб. / под. ред. д-ра экон. наук, проф. А.Я. Кибанова. – М.: ИНФРА-М, 2003. – 584 с.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5. Шилова Е.В. Компетентностный подход и организация самостоятельной работы студентов // Формирование гуманитарной среды и внеучебная работа в вузе, техникуме, школе : материалы XI Всерос. науч.-практ. конф. – Пермь: Изд-во Перм. гос. техн. ун-та, 2009. – С. 9–10.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color w:val="4c4c4c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ode.com/online/udc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rusnauka.com/20_AND_2014/Economics/7_174062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