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Montserrat" w:cs="Montserrat" w:eastAsia="Montserrat" w:hAnsi="Montserrat"/>
          <w:b w:val="1"/>
          <w:sz w:val="27"/>
          <w:szCs w:val="27"/>
        </w:rPr>
      </w:pPr>
      <w:bookmarkStart w:colFirst="0" w:colLast="0" w:name="_s2z90xoq5x2t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Требования к оформлению рукописей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Статьи принимаются на сайте электронной редакции (</w:t>
      </w:r>
      <w:hyperlink r:id="rId6">
        <w:r w:rsidDel="00000000" w:rsidR="00000000" w:rsidRPr="00000000">
          <w:rPr>
            <w:rFonts w:ascii="Roboto" w:cs="Roboto" w:eastAsia="Roboto" w:hAnsi="Roboto"/>
            <w:color w:val="4b7d92"/>
            <w:sz w:val="21"/>
            <w:szCs w:val="21"/>
            <w:u w:val="single"/>
            <w:rtl w:val="0"/>
          </w:rPr>
          <w:t xml:space="preserve">перейти по ссылке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) или на адрес электронной почты: </w:t>
      </w:r>
      <w:r w:rsidDel="00000000" w:rsidR="00000000" w:rsidRPr="00000000">
        <w:rPr>
          <w:rFonts w:ascii="Roboto" w:cs="Roboto" w:eastAsia="Roboto" w:hAnsi="Roboto"/>
          <w:color w:val="4b7d92"/>
          <w:sz w:val="21"/>
          <w:szCs w:val="21"/>
          <w:rtl w:val="0"/>
        </w:rPr>
        <w:t xml:space="preserve">niks@isras.ru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начале статьи указываются: фамилия, имя, отчество (полностью) автора, ученая степень, звание, должность, место работы (указывается как в уставных документах), электронный адрес, телефон. Сведения приводятся на русском и английском языках.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Название статьи на русском языке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Аннотация на русском языке (200-250 слов)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Название статьи на английском языке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Аннотация на английском языке (200-250 слов, в которых должно быть отражено достаточно полное описание статьи).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4-6 ключевых слов на русском и английском языках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Далее сам текст статьи на русском языке объемом 30-40 тыс. знаков.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Montserrat" w:cs="Montserrat" w:eastAsia="Montserrat" w:hAnsi="Montserrat"/>
          <w:b w:val="1"/>
          <w:sz w:val="27"/>
          <w:szCs w:val="27"/>
        </w:rPr>
      </w:pPr>
      <w:bookmarkStart w:colFirst="0" w:colLast="0" w:name="_js7vcmf0kaka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Правила оформления рукописи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Материалы предоставляются в электронном формате MS Word for Windows, версии не ниже 2003.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Поля – 2,5 см. Шрифт Times New Roman, кегль 12, интервал 1,5.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При наборе использовать букву «ё».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Год (годы), век (века) сокращать (1950 г., 90‑е гг., XIX-XX вв.)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Интервалы между годами, веками, страницами, процентами – тире без про­белов (1980-1985 гг., XIX‑XX вв., с.155-162).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При написании процентов с числительными использовать знак % без пробела (4%).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Десятичный знак – запятая.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При употреблении сокращений млн, млрд точка не ставится.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Имя, отчество и фамилия пишутся с неразрывным пробелом (Shift+Ctrl + клавиша пробела), (В. В. Путин, Д. Медведев).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Montserrat" w:cs="Montserrat" w:eastAsia="Montserrat" w:hAnsi="Montserrat"/>
          <w:b w:val="1"/>
          <w:sz w:val="27"/>
          <w:szCs w:val="27"/>
        </w:rPr>
      </w:pPr>
      <w:bookmarkStart w:colFirst="0" w:colLast="0" w:name="_i06whds8p77n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Оформление рисунков, графиков, таблиц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К графикам предоставляются таблицы данных.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Рисунки должны быть выполнены с разрешением не менее 300 точек/дюйм.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Рисунки подписываются внизу под самим рисунком. Слово рисунок сокра­щают до «Рис. 1,2…». В тексте при ссылке на рисунок также дают сокращенный вариант (Пример: Как видно на рис.1)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таблицах все графы должны быть заполнены, включая шапку первого столбца.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Таблица с номером пишется наверху самой таблицы, выравнивание по пра­вому краю, т. е. в правом верхнем углу. После слова «таблица» и номера точка не ставится. Название таблицы пишется на следующей строке, выравнивание по середине. При упоминании данных таблицы в тексте слово таблица не сокращают.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Montserrat" w:cs="Montserrat" w:eastAsia="Montserrat" w:hAnsi="Montserrat"/>
          <w:b w:val="1"/>
          <w:sz w:val="27"/>
          <w:szCs w:val="27"/>
        </w:rPr>
      </w:pPr>
      <w:bookmarkStart w:colFirst="0" w:colLast="0" w:name="_4q0zy61ye695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Оформление библиографического описания</w:t>
      </w:r>
    </w:p>
    <w:p w:rsidR="00000000" w:rsidDel="00000000" w:rsidP="00000000" w:rsidRDefault="00000000" w:rsidRPr="00000000" w14:paraId="0000001B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Правила оформления внутритекстовых, подстрочных и затекстовых библиографических ссылок осуществляется в соответствии с ГОСТ Р 7.0.5-2008.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тексте статьи при ссылке на источник не использовать нумерацию. Фамилию автора (без инициалов) и год издания необходимо указывать в квадратных скобках. Давая ссылку на конкретную(ые) страницу(ы) текста в статье или приводя цитату, следует указывать страницу(ы) через двоеточие. Не использовать сокращения – с. и р. Если у источника два автора, фамилии указывать без инициалов через запятую, если авторов больше двух, то указать первого и ставить – др.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hd w:fill="ffffff" w:val="clear"/>
        <w:spacing w:after="300" w:before="600" w:line="400" w:lineRule="auto"/>
        <w:rPr>
          <w:rFonts w:ascii="Montserrat" w:cs="Montserrat" w:eastAsia="Montserrat" w:hAnsi="Montserrat"/>
          <w:b w:val="1"/>
          <w:sz w:val="27"/>
          <w:szCs w:val="27"/>
        </w:rPr>
      </w:pPr>
      <w:bookmarkStart w:colFirst="0" w:colLast="0" w:name="_na2t79hn0euu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sz w:val="27"/>
          <w:szCs w:val="27"/>
          <w:rtl w:val="0"/>
        </w:rPr>
        <w:t xml:space="preserve">Примеры:</w:t>
      </w:r>
    </w:p>
    <w:p w:rsidR="00000000" w:rsidDel="00000000" w:rsidP="00000000" w:rsidRDefault="00000000" w:rsidRPr="00000000" w14:paraId="0000001E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тексте: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[Горшков, 2011:35-36].</w:t>
      </w:r>
    </w:p>
    <w:p w:rsidR="00000000" w:rsidDel="00000000" w:rsidP="00000000" w:rsidRDefault="00000000" w:rsidRPr="00000000" w14:paraId="0000001F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списке литературы: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Горшков М. К. Российское общество как оно есть: (опыт социологической диагностики). М.: Новый хронограф. 2011. 672 c.</w:t>
      </w:r>
    </w:p>
    <w:p w:rsidR="00000000" w:rsidDel="00000000" w:rsidP="00000000" w:rsidRDefault="00000000" w:rsidRPr="00000000" w14:paraId="00000020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тексте: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[Тихонова, Мареева 2013:78].</w:t>
      </w:r>
    </w:p>
    <w:p w:rsidR="00000000" w:rsidDel="00000000" w:rsidP="00000000" w:rsidRDefault="00000000" w:rsidRPr="00000000" w14:paraId="00000021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списке литературы: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Тихонова Н. Е., Мареева С. В. Средний класс: теория и реальность. М.: Альфа-М. 2009. 320 с.</w:t>
      </w:r>
    </w:p>
    <w:p w:rsidR="00000000" w:rsidDel="00000000" w:rsidP="00000000" w:rsidRDefault="00000000" w:rsidRPr="00000000" w14:paraId="00000022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тексте: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[Константиновский Д. Л. и др., 2011:55 ].</w:t>
      </w:r>
    </w:p>
    <w:p w:rsidR="00000000" w:rsidDel="00000000" w:rsidP="00000000" w:rsidRDefault="00000000" w:rsidRPr="00000000" w14:paraId="00000023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списке литературы: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Константиновский Д. Л., Вознесенская Е. Д., Чередниченко Г. А., Хохлушкина Ф. А. Образование и жизненные траектории молодежи: 1998-2008. М.: ИС РАН. 2011. 277 с.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Если в библиографической ссылке отсутствуетимя(ена) автора(ов) (кол­лективная монография, сборник, документ и т. п.), следует указывать название работы. Короткое (одно-два слова) – целиком; длинное – давать первые 1-2 слова названия, после чего ставить многоточие, затем запятую и год издания.</w:t>
      </w:r>
    </w:p>
    <w:p w:rsidR="00000000" w:rsidDel="00000000" w:rsidP="00000000" w:rsidRDefault="00000000" w:rsidRPr="00000000" w14:paraId="00000025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тексте: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[Социальные неравенства…, 2008].</w:t>
      </w:r>
    </w:p>
    <w:p w:rsidR="00000000" w:rsidDel="00000000" w:rsidP="00000000" w:rsidRDefault="00000000" w:rsidRPr="00000000" w14:paraId="00000026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оформлении этой сноски в списке литературы необходимо указывать через знак «/» ответственного редактора(ов).</w:t>
      </w:r>
    </w:p>
    <w:p w:rsidR="00000000" w:rsidDel="00000000" w:rsidP="00000000" w:rsidRDefault="00000000" w:rsidRPr="00000000" w14:paraId="00000027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Пример:</w:t>
      </w:r>
    </w:p>
    <w:p w:rsidR="00000000" w:rsidDel="00000000" w:rsidP="00000000" w:rsidRDefault="00000000" w:rsidRPr="00000000" w14:paraId="00000028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Социальные неравенства и социальная политика в современной России. / отв. ред. М. К. Горшков, Н. Е. Тихонова. М.: «Наука». 2008. 423 с.</w:t>
      </w:r>
    </w:p>
    <w:p w:rsidR="00000000" w:rsidDel="00000000" w:rsidP="00000000" w:rsidRDefault="00000000" w:rsidRPr="00000000" w14:paraId="00000029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случае с коллективными монографиями на иностранных языках, указываются редактор(ы), а не название источника, в тексте оформляется следующим образом: [Quarantelli, 1998].</w:t>
      </w:r>
    </w:p>
    <w:p w:rsidR="00000000" w:rsidDel="00000000" w:rsidP="00000000" w:rsidRDefault="00000000" w:rsidRPr="00000000" w14:paraId="0000002A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списке литературы этот источник указывается с обозначением фамилии редактора(ов), например, если это англоязычный источник – ed. (если один редактор) и eds. (если несколько редакторов), например:</w:t>
      </w:r>
    </w:p>
    <w:p w:rsidR="00000000" w:rsidDel="00000000" w:rsidP="00000000" w:rsidRDefault="00000000" w:rsidRPr="00000000" w14:paraId="0000002B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Quarant elli E. L., ed.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What is a Disaster? New York: Routledge. 1998.</w:t>
      </w:r>
    </w:p>
    <w:p w:rsidR="00000000" w:rsidDel="00000000" w:rsidP="00000000" w:rsidRDefault="00000000" w:rsidRPr="00000000" w14:paraId="0000002C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Deelstra T., Yanitsky O., eds.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Cities of Europe: The Public’s Role in Shaping the Urban Environment. M.: Mezhdunarudnye Otnosheniya, 1991.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случае ссылки на литературу на иностранном языке – фамилия или название пишется на языке источника. Если авторов (или редакторов) несколько, необходимо указывать первую фамилию:</w:t>
      </w:r>
    </w:p>
    <w:p w:rsidR="00000000" w:rsidDel="00000000" w:rsidP="00000000" w:rsidRDefault="00000000" w:rsidRPr="00000000" w14:paraId="0000002E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В тексте: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[Murphy, 2010].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Ссылку на несколько источников следует давать по требованию, описанному выше, через точку с запятой.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Список литературы составляется по алфавиту. Книги на иностранном языке перечисляются после русскоязычных так же. Нумерацию не использовать.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Для электронных источников необходимо указать автора, название статьи, название сайта (или раздела сайта), адрес URL и дату обращения. В записи обязательно должен присутствовать текст [Электронный ресурс].</w:t>
      </w:r>
    </w:p>
    <w:p w:rsidR="00000000" w:rsidDel="00000000" w:rsidP="00000000" w:rsidRDefault="00000000" w:rsidRPr="00000000" w14:paraId="00000032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Пример:</w:t>
      </w:r>
    </w:p>
    <w:p w:rsidR="00000000" w:rsidDel="00000000" w:rsidP="00000000" w:rsidRDefault="00000000" w:rsidRPr="00000000" w14:paraId="00000033">
      <w:pPr>
        <w:shd w:fill="ffffff" w:val="clear"/>
        <w:spacing w:after="300"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Окольская Л. А. Трудовые биографии и этапы восходящей мобильности президентского кадрового резерва [Электронный ресурс] // Официальный сайт ИС РАН. 2009. URL:</w:t>
      </w:r>
      <w:r w:rsidDel="00000000" w:rsidR="00000000" w:rsidRPr="00000000">
        <w:rPr>
          <w:rFonts w:ascii="Roboto" w:cs="Roboto" w:eastAsia="Roboto" w:hAnsi="Roboto"/>
          <w:sz w:val="21"/>
          <w:szCs w:val="21"/>
          <w:u w:val="single"/>
          <w:rtl w:val="0"/>
        </w:rPr>
        <w:t xml:space="preserve">http://www.isras.ru/publ.html?id=1672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(Дата обращения 07.04.2009).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hd w:fill="ffffff" w:val="clear"/>
        <w:spacing w:after="300" w:before="600" w:line="300" w:lineRule="auto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bookmarkStart w:colFirst="0" w:colLast="0" w:name="_b1mbp7yhd6cv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4"/>
          <w:szCs w:val="24"/>
          <w:rtl w:val="0"/>
        </w:rPr>
        <w:t xml:space="preserve">Заявление о конфиденциальности</w:t>
      </w:r>
    </w:p>
    <w:p w:rsidR="00000000" w:rsidDel="00000000" w:rsidP="00000000" w:rsidRDefault="00000000" w:rsidRPr="00000000" w14:paraId="00000035">
      <w:pPr>
        <w:shd w:fill="ffffff" w:val="clear"/>
        <w:spacing w:before="300" w:line="409.09090909090907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nuscript.fnisc.ru/%D1%81%D0%BD%D1%81%D0%BF/?jour=%D0%A1%D0%BE%D1%86%D0%B8%D0%BE%D0%BB%D0%BE%D0%B3%D0%B8%D1%87%D0%B5%D1%81%D0%BA%D0%B0%D1%8F%20%D0%BD%D0%B0%D1%83%D0%BA%D0%B0%20%D0%B8%20%D1%81%D0%BE%D1%86%D0%B8%D0%B0%D0%BB%D1%8C%D0%BD%D0%B0%D1%8F%20%D0%BF%D1%80%D0%B0%D0%BA%D1%82%D0%B8%D0%BA%D0%B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