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Порядок подачи и правила оформления статьи в научный журнал.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Для публикации в научном журнале Вам необходимо выполнить следующие действия: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="458.1818181818182" w:lineRule="auto"/>
        <w:rPr>
          <w:color w:val="839bb4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1. Заполнить </w:t>
      </w:r>
      <w:hyperlink r:id="rId6">
        <w:r w:rsidDel="00000000" w:rsidR="00000000" w:rsidRPr="00000000">
          <w:rPr>
            <w:color w:val="839bb4"/>
            <w:sz w:val="19"/>
            <w:szCs w:val="19"/>
            <w:highlight w:val="white"/>
            <w:rtl w:val="0"/>
          </w:rPr>
          <w:t xml:space="preserve">регистрационную форму для публикации.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="458.1818181818182" w:lineRule="auto"/>
        <w:rPr>
          <w:color w:val="839bb4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2. Оформить статью согласно правилам оформления и прислать для публикации на электронный адрес редакции: </w:t>
      </w:r>
      <w:r w:rsidDel="00000000" w:rsidR="00000000" w:rsidRPr="00000000">
        <w:rPr>
          <w:color w:val="839bb4"/>
          <w:sz w:val="19"/>
          <w:szCs w:val="19"/>
          <w:highlight w:val="white"/>
          <w:rtl w:val="0"/>
        </w:rPr>
        <w:t xml:space="preserve"> office@siee.zp.ua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3. После принятия статьи к печати необходимо прислать отсканированную (сфотографированную) квитанцию об оплате публикационного взноса.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Правила оформления статей</w:t>
      </w:r>
    </w:p>
    <w:tbl>
      <w:tblPr>
        <w:tblStyle w:val="Table1"/>
        <w:tblW w:w="8805.0" w:type="dxa"/>
        <w:jc w:val="left"/>
        <w:tblInd w:w="4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5655"/>
        <w:tblGridChange w:id="0">
          <w:tblGrid>
            <w:gridCol w:w="3150"/>
            <w:gridCol w:w="5655"/>
          </w:tblGrid>
        </w:tblGridChange>
      </w:tblGrid>
      <w:tr>
        <w:trPr>
          <w:trHeight w:val="39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Формат листа 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A4, ориентация - книжная</w:t>
            </w:r>
          </w:p>
        </w:tc>
      </w:tr>
      <w:tr>
        <w:trPr>
          <w:trHeight w:val="39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Поля 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верхнее и нижнее 2 см, левое - 2,5 см, правое - 1,5 см</w:t>
            </w:r>
          </w:p>
        </w:tc>
      </w:tr>
      <w:tr>
        <w:trPr>
          <w:trHeight w:val="72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Основной шрифт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Times New Roman</w:t>
            </w:r>
          </w:p>
          <w:p w:rsidR="00000000" w:rsidDel="00000000" w:rsidP="00000000" w:rsidRDefault="00000000" w:rsidRPr="00000000" w14:paraId="0000000D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Arial и Courier New для фрагментов текста</w:t>
            </w:r>
          </w:p>
        </w:tc>
      </w:tr>
      <w:tr>
        <w:trPr>
          <w:trHeight w:val="138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Размер шрифта основного текста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14 пунктов</w:t>
            </w:r>
          </w:p>
          <w:p w:rsidR="00000000" w:rsidDel="00000000" w:rsidP="00000000" w:rsidRDefault="00000000" w:rsidRPr="00000000" w14:paraId="00000010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Допускается использование шрифта меньшего размера (10 пунктов) для участков текста, имеющих вспомогательное (второстепенное) значение</w:t>
            </w:r>
          </w:p>
        </w:tc>
      </w:tr>
      <w:tr>
        <w:trPr>
          <w:trHeight w:val="39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Межстрочный интервал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полуторный</w:t>
            </w:r>
          </w:p>
        </w:tc>
      </w:tr>
      <w:tr>
        <w:trPr>
          <w:trHeight w:val="39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Выравнивание текста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по ширине</w:t>
            </w:r>
          </w:p>
        </w:tc>
      </w:tr>
      <w:tr>
        <w:trPr>
          <w:trHeight w:val="1095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Автоматическая расстановка переносов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включена</w:t>
            </w:r>
          </w:p>
        </w:tc>
      </w:tr>
      <w:tr>
        <w:trPr>
          <w:trHeight w:val="72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Абзацный отступ </w:t>
            </w:r>
          </w:p>
          <w:p w:rsidR="00000000" w:rsidDel="00000000" w:rsidP="00000000" w:rsidRDefault="00000000" w:rsidRPr="00000000" w14:paraId="00000018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(красная строка)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1,25 см</w:t>
            </w:r>
          </w:p>
        </w:tc>
      </w:tr>
      <w:tr>
        <w:trPr>
          <w:trHeight w:val="39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Нумерация страниц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не ведется</w:t>
            </w:r>
          </w:p>
        </w:tc>
      </w:tr>
      <w:tr>
        <w:trPr>
          <w:trHeight w:val="171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Рисунки и таблицы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допускаются и внедрены в текст, отдельными файлами на альбомных страницах не принимаются. Размер шрифта табличного текста обычно на 2 пункта меньше размера шрифта основного текста</w:t>
            </w:r>
          </w:p>
        </w:tc>
      </w:tr>
      <w:tr>
        <w:trPr>
          <w:trHeight w:val="105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Ссылки на литературу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в квадратных скобках [1, с. 2], библиографический список в конце текста.</w:t>
            </w:r>
          </w:p>
          <w:p w:rsidR="00000000" w:rsidDel="00000000" w:rsidP="00000000" w:rsidRDefault="00000000" w:rsidRPr="00000000" w14:paraId="00000020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Другой способ оформления литературы не допускается</w:t>
            </w:r>
          </w:p>
        </w:tc>
      </w:tr>
      <w:tr>
        <w:trPr>
          <w:trHeight w:val="390" w:hRule="atLeast"/>
        </w:trPr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Объем</w:t>
            </w:r>
          </w:p>
        </w:tc>
        <w:tc>
          <w:tcPr>
            <w:tcBorders>
              <w:top w:color="b9c2cb" w:space="0" w:sz="7" w:val="dotted"/>
              <w:left w:color="b9c2cb" w:space="0" w:sz="7" w:val="dotted"/>
              <w:bottom w:color="b9c2cb" w:space="0" w:sz="7" w:val="dotted"/>
              <w:right w:color="b9c2cb" w:space="0" w:sz="7" w:val="dotted"/>
            </w:tcBorders>
            <w:tcMar>
              <w:top w:w="40.0" w:type="dxa"/>
              <w:left w:w="46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="409.5" w:lineRule="auto"/>
              <w:ind w:left="20" w:right="20" w:firstLine="0"/>
              <w:rPr>
                <w:color w:val="2e3d4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e3d4c"/>
                <w:sz w:val="20"/>
                <w:szCs w:val="20"/>
                <w:highlight w:val="white"/>
                <w:rtl w:val="0"/>
              </w:rPr>
              <w:t xml:space="preserve">от 10 до 20 страниц включительно</w:t>
            </w:r>
          </w:p>
        </w:tc>
      </w:tr>
    </w:tbl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В статье должны содержаться (с выделением в тексте) следующие элементы: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- Постановка проблемы в общем виде и ее связь с важными научными или практическими задачами;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- Анализ последних исследований и публикаций, в которых начато решение данной проблемы и на которые опирается автор, выделение нерешенных ранее частей общей проблемы, которым посвящается данная статья;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- Формулировка целей статьи (постановка задачи);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- Изложение основного материала исследования с полным обоснованием полученных научных результатов;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- Выводы из данного исследования и перспективы дальнейших исследований в данном направлении;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- Список литературы ( оформляется по новым требованиям, опубликованных в Бюллетене ВАК Украины, № 3, 2008).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Редакция принимает материалы, сохраненные в формате Microsoft Word (*.doc или *.docx).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Название файла должно быть подписано согласно фамилии и инициалов автора (например, Иванов Д.Т.).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Ответственность за содержимое материала несет автор.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Статьи не подлежат дополнительному редактированию, поэтому они должны быть проверены перед отправкой.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При грубых нарушениях правил оформления статья не публикуется и публикационный взнос не возвращается.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both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Процесс рецензирования статей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both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Статья рассматривается одним из членов редакционной коллегии журнала (single-blind review - рецензент знает автора, но автор не знает рецензента). Все материалы оцениваются в соответствии с критериями (оригинальность, инновационность, значение результатов в своей отрасли, теоретическая основа и обзор уже проведенных исследований и имеющихся публикаций, методология, грамотность, соблюдение редакционных требований). Рецензент после рассмотрения материалов может вынести одно из следующих решений: • Публиковать как есть; • Публиковать с незначительными изменениями; • Отправить на повторное рецензирование (если необходимы существенные изменения) • Отказать (если требуется значительная переработка, но автор может подать доработанный материал повторно); • Отказать без разрешения повторного представления (если материал имеет принципиальные недостатки, содержит плагиат или не соответствует тематике издания).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Пример оформления статьи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УДК 336.543.23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Іванов Іван Іванович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кандидат економічних наук, доцент,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доцент кафедри фінансів і кредиту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Київського національного університету імені Тараса Шевченка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Петрова Оксана Олександрівна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аспірант кафедри фінансів і кредиту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Київського національного університету імені Тараса Шевченка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Иванов Иван Иванович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кандидат экономических наук, доцент,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доцент кафедры финансов и кредита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Киевского национального университета имени Тараса Шевченко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Петрова Оксана Александровна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аспирант кафедры финансов и кредита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Киевского национального университета имени Тараса Шевченко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Ivanov Ivan Ivanovich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PhD, associate professor,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associate professor of finance and credit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Kyiv National University named after Taras Shevchenko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Petrova Oksana Aleksandrovna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Postgraduate student finance and credit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right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Kyiv National University named after Taras Shevchenko</w:t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160" w:line="288.00000000000006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q78j5kpfbkxi" w:id="0"/>
      <w:bookmarkEnd w:id="0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ЕКОНОМІЧНЕ ЗРОСТАННЯ В УКРАЇНІ ТА ЙОГО ТЕНДЕНЦІЇ</w:t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160" w:line="288.00000000000006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xfzeyz604pns" w:id="1"/>
      <w:bookmarkEnd w:id="1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ЭКОНОМИЧЕСКИЙ РОСТ В УКРАИНЕ И ЕГО ТЕНДЕНЦИИ</w:t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160" w:line="288.00000000000006" w:lineRule="auto"/>
        <w:jc w:val="center"/>
        <w:rPr>
          <w:b w:val="1"/>
          <w:color w:val="000000"/>
          <w:sz w:val="27"/>
          <w:szCs w:val="27"/>
          <w:highlight w:val="white"/>
        </w:rPr>
      </w:pPr>
      <w:bookmarkStart w:colFirst="0" w:colLast="0" w:name="_4phdhmbqs3bp" w:id="2"/>
      <w:bookmarkEnd w:id="2"/>
      <w:r w:rsidDel="00000000" w:rsidR="00000000" w:rsidRPr="00000000">
        <w:rPr>
          <w:b w:val="1"/>
          <w:color w:val="000000"/>
          <w:sz w:val="27"/>
          <w:szCs w:val="27"/>
          <w:highlight w:val="white"/>
          <w:rtl w:val="0"/>
        </w:rPr>
        <w:t xml:space="preserve">ECONOMIC GROWTH IN UKRAINE AND ITS TRENDS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Анотація. </w:t>
      </w: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Текст, текст, текст, текст, текст. (5-7 речень)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Ключові слова:</w:t>
      </w: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 текст, текст, текст, текст, текст.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Аннотация. </w:t>
      </w: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Текст, текст, текст, текст, текст. (5-7 предложений)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Ключевые слова:</w:t>
      </w: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 текст, текст, текст, текст, текст.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Summary.</w:t>
      </w: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 Текст, текст, текст, текст, текст. (5-7 sentences)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Key words:</w:t>
      </w: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 текст, текст, текст, текст, текст.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both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Постановка проблемы.</w:t>
      </w: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 Определяющим фактором в формировании кадровой политики является государственная кадровая политика. Трансформационные процессы, которые происходят сегодня во всех сферах общественной жизни Украины, потребность в обеспечении устойчивого развития, требуют от украинского общества и государства в целом новых подходов и методов, по формированию и развитию кадрового потенциала [1, c. 10].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both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Постановка задачи.</w:t>
      </w: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 На основе изложенного можно сформулировать задачи исследования, которое заключается в ... 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both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Изложение основного материала исследования.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both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Выводы из проведенного исследования.</w:t>
      </w: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 Из приведенного выше можно сделать следующие выводы.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jc w:val="center"/>
        <w:rPr>
          <w:b w:val="1"/>
          <w:color w:val="2e3d4c"/>
          <w:sz w:val="19"/>
          <w:szCs w:val="19"/>
          <w:highlight w:val="white"/>
        </w:rPr>
      </w:pPr>
      <w:r w:rsidDel="00000000" w:rsidR="00000000" w:rsidRPr="00000000">
        <w:rPr>
          <w:b w:val="1"/>
          <w:color w:val="2e3d4c"/>
          <w:sz w:val="19"/>
          <w:szCs w:val="19"/>
          <w:highlight w:val="white"/>
          <w:rtl w:val="0"/>
        </w:rPr>
        <w:t xml:space="preserve">Литература: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22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200" w:lineRule="auto"/>
        <w:rPr>
          <w:color w:val="2e3d4c"/>
          <w:sz w:val="19"/>
          <w:szCs w:val="19"/>
          <w:highlight w:val="white"/>
        </w:rPr>
      </w:pPr>
      <w:r w:rsidDel="00000000" w:rsidR="00000000" w:rsidRPr="00000000">
        <w:rPr>
          <w:color w:val="2e3d4c"/>
          <w:sz w:val="19"/>
          <w:szCs w:val="19"/>
          <w:highlight w:val="white"/>
          <w:rtl w:val="0"/>
        </w:rPr>
        <w:t xml:space="preserve">1 . Олуйко В. Кадры в регионе Украины: становление и развитие: монография / В. Олуйко, - М. : Мир, 2001. - 221 с.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color w:val="30303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iee.zp.ua/index.php/ru/registratsiya-dlya-publikatsii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