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Основными критериями, которыми руководствуется редакция журнала при определении целесообразности публикации того или иного материала, являются: актуальность; анализ существующих проблем военной теории и практики и предлагаемые пути их решения; научная новизна предлагаемых решений; обоснованность и точность в расчетах; практическая направленность и оригинальность предложений по строительству и развитию Вооруженных Сил России.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подготовке материала основное внимание следует уделить той проблематике, которая недостаточно освещена в военной печати и требует дальнейшего развития. В редакцию принимаются материалы, которые еще не были опубликованы в других периодических изданиях. При выявлении фактов представления рукописей, ранее опубликованных в других изданиях, редакция оставляет за собой право прекратить сотрудничество с данными авторами. Статьи, имеющие приоритетный характер, публикуются в первую очередь.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(или авторский коллектив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более трех человек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представляет в редакцию журнала авторский оригинал и магнитную версию на CD. Предлагаемые к рассмотрению оригиналы рукописи в обязательном порядке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должен быть подписан автором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к нему должны прилагаться: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заявление на публикацию; сопроводительное письмо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направление от отделения (секции), где выполнялось данное исследование, а также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 менее двух рецензий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подписанных специалистами по рассматриваемым в статье вопросам и заверенных печатями. При наличии в организации, где была подготовлена статья, сформированной установленным порядком экспертной комиссии автор представляет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экспертное заключение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 отсутствии в ней сведений, не подлежащих опубликованию в открытой печати. Статьи, к которым не приложено такое заключение, направляются редакцией журнала на экспертизу централизованно в составе оригинал-макета очередного номера.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Редакция обеспечивает экспертную оценку (рецензирование) рукописей, подписанных специалистами по рассматриваемым в статье вопросам и заверенных печатями, привлекая для этого независимых рецензентов. На основании письменной рецензии и заключения Редколлегии рукопись принимается к печати, отклоняется или высылается автору (авторам) на доработку.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Редакция оставляет за собой право публиковать принятые к печати статьи в том номере и в такой последовательности, которые представляются оптимальными для журнала.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Перечисленные материалы  - текст статьи (с вставленными рисунками), заявление на публикацию, сопроводительное письмо-направление, экспертное заключение (при наличии), рецензии направляются в виде отдельных текстовых файлов с наименованием из двух слов, первое из которых - фамилия автора, а второе - содержание документа (статья, заявление, сопровод, заключение (при наличии). Дополнительно отдельным файлом высылается каждый рисунок в формате rtf. Например: "Иванов.Рис1.rtf", "Иванов.Рис.2.rtf", "Иванов.Табл.1.rtf".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Авторский оригинал текста статьи , представляемый в редакцию, должен содержать следующие элементы: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общие сведения о статье: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название статьи (полужирный шрифт, прописные буквы); фамилию и инициалы авторов;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аннотацию,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содержащую сведения, которые дополнительно к заглавию характеризуют тему, рассматриваемую проблему, цель выполненной работы, ее результаты и новизну;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ключевые слова или словосочетания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текста статьи (от 5 до 15), которые в наибольшей мере отражают ее основное содержание и обеспечивают возможность информационного поиска. Ключевые слова приводятся в именительном падеже и печатаются строчными буквами в строку через запятые (размер шрифта 12 пт);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основной текст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вместе с заголовками, таблицами, иллюстрациями с подрисуночными надписями, примечаниями, сносками, формулами;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 статьи, не превышающий 16-18 страниц машинописного текста (через 1,5 интервала) представляется в текстовом редакторе Microsoft Office Word 1995-2003, 2007. Рекомендуемый шрифт Times New Roman (размер шрифта 14 пт, цвет шрифта - черный) на стандартных листах А4 (поля слева – 3 см, справа – 1 см, сверху и снизу – по 2,5 см); форматирование по левому краю; страницы нумеруются, колонтитулы не создаются. Иллюстрации, схемы, таблицы и диаграммы – отдельными файлами (иллюстрации дублируются в формате JPEG).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акцентирования элементов текста разрешается использовать курсив, полужирный курсив, полужирный прямой. Подчеркивание текста и вольное форматирование не допускается;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список использованных источников (обязательно)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который должен содержать сведения об источниках, использованных при разработке статьи. Сведения об источниках оформляются в соответствии с требованиями ГОСТ 7.1 и ГОСТ 7.80. Ссылки на литературу в тексте статьи приводятся в квадратных скобках, например, [2] или [5-7], [5. С. 15]. Не допускаются ссылки на неопубликованные работы и на авторефераты диссертаций.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Ответственность за точность цитируемого текста и правильность ссылок на источник несет автор.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сведения об авторе (авторах)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фамилия, имя, отчество, занимаемая в настоящее время должность, полное название организации, ученая степень, звание, в том числе почетное и воинское (в том числе в запасе или отставке), отношение к АВН, домашний адрес с указанием почтового индекса, адрес электронной почты, телефон для связи.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также должен представить название статьи, инициалы и фамилии авторов, аннотацию, ключевые слова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английском языке.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Рукописи, оформленные не по Правилам, не рассматриваются.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Редакция просит возвращать исправленные после рецензирования и перепечатанные заново рукописи не позднее двух месяцев от времени их получения. Превышение этих сроков замедлит публикацию рукописи.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Авторский гонорар и оплата труда по рецензированию рукописей не предусмотрены.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Рукописи авторам не возвращаются.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Корректура авторам не высылается.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Автору направляется 1 экземпляр журнала.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ОБРАЗЕЦ ОФОРМЛЕНИЯ СТАТЬИ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S.A. SYCHYOV </w:t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С.А. СЫЧЕВ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ПРИНЦИПЫ ПРИМЕНЕНИЯ ОБЩЕВОЙСКОВЫХ ФОРМИРОВАНИЙ СУХОПУТНЫХ ВОЙСК, ОСНАЩЁННЫХ РОБОТОТЕХНИЧЕСКИМИ КОМПЛЕКСАМИ ВОЕННОГО НАЗНАЧЕНИЯ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PRINCIPLES FOR THE USE OF COMBINED ARMS FORMATIONS OF THE GROUND FORCES EQUIPPED WITH MILITARY ROBOTIC SETS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статье рассматриваются принципы применения общевойсковых формирований при оснащении их робототехническими комплексами военного назначения с использованием функционального подхода.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article relates principles for the use of combined arms formations when they are equipped with military robotic sets are considered using functional trends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принципы применения, общевойсковые формирования, закономерности вооружённой борьбы, робототехнические комплексы, беспилотные летательные аппараты, функциональный подход.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principles for the use of combined, combined arms formations, patterns of warfare, robotic sets, unmanned aerial vehicles, functional trends.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ТЕКСТ СТАТЬИ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Образец сведений об авторе: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Сычев Сергей Анатольевич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докторант кафедры тактики ВУНЦ СВ «ОВА ВС РФ» полковник, кандидат военных наук, доцент, профессор Академии военных наук, 127253, г. Москва, ул. Левобережная, дом 4, корп. 10, кв. 13. Тел. 8 (910) 490-23-33, E-mail: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ovavcrf@mil.ru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Образец списка использованных источников: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ПРИМЕЧАНИЯ: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Иванов С.С., Дульнев П.А., Воронович А.В. Задачи, решаемые перспективными робототехническими комплексами военного назначения сухопутных войск и требования к ним // Труды Первой военно-научной конференции «Роботизация Вооруженных Сил Российской Федерации», Москва: 2016. –  C. 56-61.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Буренок В.М. и др. Методология обоснования перспектив развития средств вооруженной борьбы общего назначения. – М.: Машиностроение: 2010. – 368 с.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К. Рябов. Объединенная приборостроительная корпорация работает над роботами  </w:t>
        <w:tab/>
        <w:t xml:space="preserve">третьего поколения. https://topwar.ru/87140-obedinennaya-priborostroitelnaya-korporaciya-rabotaet-nad-robotami-tretego-pokoleniya. (электрон. ресурс. 01.02.2019)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Правила рецензирования рукописей научных статей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Все научные статьи, поступившие в редакцию журнала, подлежат обязательному рецензированию.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Главный редактор определяет соответствие статьи профилю журнала, требованиям к оформлению и направляет ее на внутренне рецензирование специалисту, доктору или кандидату наук, имеющего близкую к теме статьи научную специализацию.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Сроки рецензирования в каждом отдельном случае определяются с учетом создания условий для максимально оперативной публикации статьи.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Рецензент рекомендует (с учетом исправления отмеченных недостатков) или не рекомендует статью к публикации в журнале.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Рецензии заверяются в порядке, установленном в учреждении, где работает рецензент.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Рецензирование проводится конфиденциально. Автору рецензируемой статьи предоставляется возможность ознакомиться с текстом рецензии. Нарушение конфиденциальности возможно только в случае заявления рецензента о недостоверности или фальсификации материалов, изложенных в статье.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Если в рецензии содержаться рекомендации по исправлению и доработке статьи, ответственный секретарь направляет автору текст рецензии с предложением учесть их при подготовке нового варианта статьи или аргументировано (частично или полностью) их опровергает.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Доработанная (переработанная) автором статья повторно направляется на рецензирование.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Наличие положительной рецензии не является достаточным основанием для публикации статьи. Окончательное решение о целесообразности публикации принимается редколлегией журнала и фиксируется в протоколе заседания редколлегии.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После принятия редколлегией решения о допуске статьи к публикации ответственный секретарь информирует об этом автора и указывает сроки публикации. Текс рецензии направляется автору по электронной почте, факсом или обычным почтовым отправлением.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Оригиналы рецензии хранятся в редколлегии или редакции в течение пяти лет.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заявления на публикацию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Главному редактору журнала «Вестник АВН»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Заявление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Прошу опубликовать мою (нашу) статью под названием: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Название статьи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в очередном (ближайшем) номере «Вестника АВН» в разделе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Название раздела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Разрешаю использовать полный текст публикации для некоммерческого информационного обслуживания читателей «Вестника АВН».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Разрешаю передачу полного текста публикации и персональных данных ООО НАУЧНАЯ ЭЛЕКТРОННАЯ БИБЛИОТЕКА (eLIBRARY.RU) в целях осуществления поисковых операций в базе данных Российского индекса научного цитирования (РИНЦ) и доведение их до всеобщего сведения.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Подписи авторов с расшифровкой.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872b2b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