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mt1oxhvhfmk3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Журнал «Вестник Самарского государственного технического университета. Серия: Физико-математические науки» (параллельное название на английском языке — Journal of Samara State Technical University, Ser. Physical and Mathematical Sciences) издаётся с 1993 г. и является регулярным научным изданием, выпускаемым Самарским государственным техническим университетом с целью развития научно-исследовательской деятельности, поддержки ведущих научных школ и подготовки кадров высшей квалификации.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Журнал зарегистрирован в Федеральной службе по надзору в сфере связи, информационных технологий и массовых коммуникаций (Роскомнадзор), свидетельство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ПИ № ФС 77–66685 от 27.07.2016</w:t>
        </w:r>
      </w:hyperlink>
      <w:r w:rsidDel="00000000" w:rsidR="00000000" w:rsidRPr="00000000">
        <w:rPr>
          <w:rtl w:val="0"/>
        </w:rPr>
        <w:t xml:space="preserve">. С 2011 года журнал выходит ежеквартально; объём номера — 200 c.; язык публикаций — русский, английский.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Журнал издаётся в печатной и электронной формах. Печатный вариант распространяется через Роспечать по подписке. Подписной индекс журнала в каталоге Роспечать —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18108</w:t>
        </w:r>
      </w:hyperlink>
      <w:r w:rsidDel="00000000" w:rsidR="00000000" w:rsidRPr="00000000">
        <w:rPr>
          <w:rtl w:val="0"/>
        </w:rPr>
        <w:t xml:space="preserve">. Электронный вариант журнала размещается на общероссийском математическом портале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Math-Net.Ru</w:t>
        </w:r>
      </w:hyperlink>
      <w:r w:rsidDel="00000000" w:rsidR="00000000" w:rsidRPr="00000000">
        <w:rPr>
          <w:rtl w:val="0"/>
        </w:rPr>
        <w:t xml:space="preserve">, на сайте научной электронной библиотеки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eLIBRARY.RU</w:t>
        </w:r>
      </w:hyperlink>
      <w:r w:rsidDel="00000000" w:rsidR="00000000" w:rsidRPr="00000000">
        <w:rPr>
          <w:rtl w:val="0"/>
        </w:rPr>
        <w:t xml:space="preserve">, и на сайте научной электронной библиотеке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СyberLeninka.ru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Журнал издается на средства издателя. Все публикации в журнале бесплатны. Все публикации в электронном виде распространяются бесплатно.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 2015 года в журнале публикуются результаты фундаментальных исследований по следующим разделам: «Дифференциальные уравнения и математическая физика», «Механика деформируемого твёрдого тела», «Математическое моделирование, численные методы и комплексы программ».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Представляемая в журнал работа должна быть законченным научным исследованием и содержать новые научные результаты, нигде ранее не публиковавшиеся и не представленные к публикации в других изданиях.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 случае обнаружения признаков дублированной подачи статей редактор обращается к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блок-схемам</w:t>
        </w:r>
      </w:hyperlink>
      <w:r w:rsidDel="00000000" w:rsidR="00000000" w:rsidRPr="00000000">
        <w:rPr>
          <w:rtl w:val="0"/>
        </w:rPr>
        <w:t xml:space="preserve"> Комитета по издательской этике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COPE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 приоритетном порядке рассматриваются заказные и обзорные статьи, материалы докторских и кандидатских диссертаций, а также работы, поддержанные РФФИ и другими фондами.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На всех стадиях работы с рукописями и для общения с авторами, редакторами и рецензентами используется электронная почта, поэтому авторы должны быть внимательны при указании своего электронного адреса и своевременно извещать редакционную коллегию о его изменении.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При наличии в редакционном портфеле нескольких работ одного автора в текущем номере может быть опубликована только одна работа (по выбору редакционной коллегии), вторая — в следующем номере и так далее. В исключительных случаях редакционная коллегия может принять решение об опубликовании не более двух работ одного автора.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Настоящие Правила вступают в силу с момента их размещения (опубликования) в сети интернет на сайте журнала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http://www.mathnet.ru/vsgtu</w:t>
        </w:r>
      </w:hyperlink>
      <w:r w:rsidDel="00000000" w:rsidR="00000000" w:rsidRPr="00000000">
        <w:rPr>
          <w:rtl w:val="0"/>
        </w:rPr>
        <w:t xml:space="preserve">). В случае внесения изменений в Правила такие изменения вступают в силу с момента опубликования новой редакции Правил на сайте.</w:t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hd w:fill="ffffff" w:val="clear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b20t81afh99v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 Требования к оформлению рукописей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Рукопись статьи, подаваемой в журнал, должна быть подготовлена к печати в издательской системе L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subscript"/>
          <w:rtl w:val="0"/>
        </w:rPr>
        <w:t xml:space="preserve">E</w:t>
      </w:r>
      <w:r w:rsidDel="00000000" w:rsidR="00000000" w:rsidRPr="00000000">
        <w:rPr>
          <w:rtl w:val="0"/>
        </w:rPr>
        <w:t xml:space="preserve">X 2</w:t>
      </w:r>
      <w:r w:rsidDel="00000000" w:rsidR="00000000" w:rsidRPr="00000000">
        <w:rPr>
          <w:vertAlign w:val="subscript"/>
          <w:rtl w:val="0"/>
        </w:rPr>
        <w:t xml:space="preserve">ε</w:t>
      </w:r>
      <w:r w:rsidDel="00000000" w:rsidR="00000000" w:rsidRPr="00000000">
        <w:rPr>
          <w:rtl w:val="0"/>
        </w:rPr>
        <w:t xml:space="preserve"> с использованием стилевого пакета samgtu.sty в соответствии с файлом main.tex (перейти к шаблону и стилевому файлу на сайте </w:t>
      </w:r>
      <w:hyperlink r:id="rId14">
        <w:r w:rsidDel="00000000" w:rsidR="00000000" w:rsidRPr="00000000">
          <w:rPr>
            <w:color w:val="00008b"/>
            <w:rtl w:val="0"/>
          </w:rPr>
          <w:t xml:space="preserve">Overleaf.com</w:t>
        </w:r>
      </w:hyperlink>
      <w:r w:rsidDel="00000000" w:rsidR="00000000" w:rsidRPr="00000000">
        <w:rPr>
          <w:rtl w:val="0"/>
        </w:rPr>
        <w:t xml:space="preserve">) и содержать все необходимые элементы (на русском и английском языке): индексы </w:t>
      </w:r>
      <w:hyperlink r:id="rId15">
        <w:r w:rsidDel="00000000" w:rsidR="00000000" w:rsidRPr="00000000">
          <w:rPr>
            <w:color w:val="00008b"/>
            <w:rtl w:val="0"/>
          </w:rPr>
          <w:t xml:space="preserve">УДК</w:t>
        </w:r>
      </w:hyperlink>
      <w:r w:rsidDel="00000000" w:rsidR="00000000" w:rsidRPr="00000000">
        <w:rPr>
          <w:rtl w:val="0"/>
        </w:rPr>
        <w:t xml:space="preserve"> и </w:t>
      </w:r>
      <w:hyperlink r:id="rId16">
        <w:r w:rsidDel="00000000" w:rsidR="00000000" w:rsidRPr="00000000">
          <w:rPr>
            <w:color w:val="00008b"/>
            <w:rtl w:val="0"/>
          </w:rPr>
          <w:t xml:space="preserve">MSC</w:t>
        </w:r>
      </w:hyperlink>
      <w:r w:rsidDel="00000000" w:rsidR="00000000" w:rsidRPr="00000000">
        <w:rPr>
          <w:rtl w:val="0"/>
        </w:rPr>
        <w:t xml:space="preserve">, заголовок статьи, фамилии авторов и сведения о них (включая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ORCID</w:t>
        </w:r>
      </w:hyperlink>
      <w:r w:rsidDel="00000000" w:rsidR="00000000" w:rsidRPr="00000000">
        <w:rPr>
          <w:rtl w:val="0"/>
        </w:rPr>
        <w:t xml:space="preserve">), аннотацию, ключевые слова, информацию о раскрытиии конфликта интересов, благодарности (факультативно), список литературы.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Рекомендуемый объём рукописи, её структура и размеры библиографического списка прописаны в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политике разделов журнала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При подготовке рукописи необходимо руководствоваться Международной системой единиц (СИ).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Рукопись статьи должна быть написана на качественном русском или английском языке.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Аннотация на русском языке должна содержать 9–15 предложений (не менее 200–250 слов). Разрешается структурировать аннотацию: объект исследования, цель, использованные методы и подходы, основные результаты. Аннотация должна быть информативной, отражать основное содержание статьи и результаты исследований, следовать логике описания результатов в статье и не содержать общих слов. Аннотация статьи на английском языке для иностранных учёных и специалистов является основным источником информации о содержании статьи и изложенных в ней результатах исследований. В этом случае аннотация выполняет функцию независимого от статьи источника информации. Поэтому к её написанию необходимо относиться с должным вниманием. Аннотация на английском языке должна быть оригинальной (не быть калькой русскоязычной аннотации с дословным переводом), написанной качественным английским языком. Аннотация не должна содержать ссылок на литературу и аббревиатуры (если это возможно).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Таблицы нумеруются, если их число более одной. Заголовок необходим, когда таблица имеет самостоятельное значение, без заголовка дают таблицы вспомогательного характера. Заголовки таблиц и их содержимое обязательно приводятся на двух языках — русском и английском.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Порядковые номера присваиваются только наиболее важным формулам, на которые имеются ссылки в тексте. Рекомендуется использовать сквозную нумерацию. Вместо одинаковых повторяющихся блоков в формулах желательно использовать их сокращённые обозначения.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Рисунки и схемы должны быть выполнены только в векторных редакторах и экспортированы в один или оба векторных формата — SVG и EPS. Фотографии или скриншоты должны быть представлены в растровых TIFF или PNG форматах. Формат JPEG запрещается использовать даже для промежуточного хранения изображений! Рекомендуемые размеры рисунков: 60 ×150, 60 × 70 мм. Рисунки нумеруются, если их число более одного. Каждый рисунок снабжается заголовком (подрисуночной подписью). Вместо громоздких надписей на рисунках следует использовать цифровые или буквенные обозначения, которые должны разъясняться в подрисуночной подписи или в тексте. Подрисуночные подписи и обозначения на рисунках обязательно приводятся на двух языках — русском и английском.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Не допускается использование изображений, которые защищены авторскими правами. Не допускается повторное использование изображений без указания источника изображения.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Список литературы составляется по ходу упоминания литературы в тексте и составляется в двух вариантах: для русскоязычной части статьи и для англоязычного блока статьи. Авторы составляют список литературы исходя из собственных представлений о необходимости соответствующих ссылок, однако в него не рекомендуется включать неопубликованные материалы, ссылки на электронные ресурсы и тезисы. Список литературы также демонстрирует профессиональный кругозор и качественный уровень исследований авторов, поэтому его содержание анализируется при поступлении рукописи статьи и оценивается при рецензировании.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Редакционная коллегия рекомендует при подготовке рукописи статьи обращать внимание на следующее: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Желательно, чтобы библиографический список был рекомендуемого размера.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Желательно, чтобы в статье присутствовали ссылки на современные работы (в том числе и зарубежные), изданные по тематике статьи за последние 5 лет.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Рекомендуется избегать необоснованного самоцитирования авторов (доля ссылок на статьи авторов рукописи не должна превышать 25 % от общего количества ссылок) и самоцитирования журнала (доля ссылок на статьи из журнала «Вестник Самарского государственного технического университета. Серия: Физико-математические науки» не должна превышать 25 % от общего количества ссылок).</w:t>
      </w:r>
    </w:p>
    <w:p w:rsidR="00000000" w:rsidDel="00000000" w:rsidP="00000000" w:rsidRDefault="00000000" w:rsidRPr="00000000" w14:paraId="0000001D">
      <w:pPr>
        <w:shd w:fill="ffffff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hd w:fill="ffffff" w:val="clear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bd1vv9z5pc3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3. Шаблон и стилевой файл журнала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Шаблон и стилевой файл журнала доступны в Overleafe по ссылке </w:t>
      </w:r>
      <w:hyperlink r:id="rId19">
        <w:r w:rsidDel="00000000" w:rsidR="00000000" w:rsidRPr="00000000">
          <w:rPr>
            <w:color w:val="00008b"/>
            <w:rtl w:val="0"/>
          </w:rPr>
          <w:t xml:space="preserve">https://www.overleaf.com/read/bzytwtpwfzjj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shd w:fill="ffffff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hd w:fill="ffffff" w:val="clear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zd5wr2ahwnzc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4. Процедура регистрации рукописи и комплект документов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Все авторские файлы (статья в формате TEX; откомпилированный файл рукописи в формате PDF; файлы рисунков в соответствующих форматах, см. п.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2.8</w:t>
        </w:r>
      </w:hyperlink>
      <w:r w:rsidDel="00000000" w:rsidR="00000000" w:rsidRPr="00000000">
        <w:rPr>
          <w:rtl w:val="0"/>
        </w:rPr>
        <w:t xml:space="preserve">) должны быть заархивированы в архив формата ZIP и зарегистрированы на сайте журнала (короткая ссылка для регистрации рукописи: </w:t>
      </w:r>
      <w:hyperlink r:id="rId21">
        <w:r w:rsidDel="00000000" w:rsidR="00000000" w:rsidRPr="00000000">
          <w:rPr>
            <w:color w:val="00008b"/>
            <w:rtl w:val="0"/>
          </w:rPr>
          <w:t xml:space="preserve">http://goo.gl/5InFkH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Регистрация рукописи состоит из следующих шести шагов: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Шаг 1. Необходимо ввести название рукописи по-русски и по-английски.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Шаг 2. Необходимо указать авторов рукописи.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Шаг 3. Необходимо ввести аннотацию и ключевые слова по-русски и по-английски.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Шаг 4. Необходимо загрузить архив с файлами рукописи. Откомпилированный файл рукописи в формате PDF следует загрузить отдельно. Также отдельно загружается файл рукописи в формате PDF, в котором отсутствуют сведения об авторах, для передачи его рецензентам (используйте для этого команду \ForPeerReview).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Шаг 5. На этом шаге можно оставить любые комментарии. Здесь, в частности, авторы могут указать имена возможных рецензентов и имена людей, назначение которых рецензентами нежелательно, а также объяснить свою позицию.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Шаг 6. На этом шаге проверяется корректность введённых данных и осуществляется загрузка рукописи в базу данных.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Редакционная коллегия в течение 2–3 недель осуществляет первичную проверку рукописи статьи на её соответствие настоящим Правилам. При выполнении всех требований высылает авторам подтверждение о регистрации и типовой договор о передаче авторских прав.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После получения подтверждения о регистрации рукописи авторы в течение шести рабочих дней формируют комплект документов и отправляют его обычной почтой на адрес редакционной коллегии:</w:t>
        <w:br w:type="textWrapping"/>
        <w:t xml:space="preserve">Редколлегия журнала «Вестн. СамГТУ. Сер. физ.-мат. науки»,</w:t>
        <w:br w:type="textWrapping"/>
        <w:t xml:space="preserve">каф. ПМиИ, корп. № 8, СамГТУ,</w:t>
        <w:br w:type="textWrapping"/>
        <w:t xml:space="preserve">ул. Молодогвардейская, 244,</w:t>
        <w:br w:type="textWrapping"/>
        <w:t xml:space="preserve">Самара, 443100, Россия.</w:t>
        <w:br w:type="textWrapping"/>
        <w:t xml:space="preserve">Комплект документов должен включать в себя следующее: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Сопроводительное письмо на имя главного редактора журнала от организации, аффилированной с автором, ведущим переписку, в котором должно подтверждаться, что рукопись статьи является законченным научным исследованием, содержит новые научные результаты, нигде ранее не публиковавшиеся и не представленные к публикации в других изданиях.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Экспертное заключение о возможности опубликования материалов в открытой печати, выданное от организации, аффилированной с автором, ведущим переписку.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Заполненный и подписанный типовой договор о передаче авторских прав в двух экземплярах.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Распечатанный вариант рукописи статьи, подписанный всеми авторами в печать.</w:t>
      </w:r>
    </w:p>
    <w:p w:rsidR="00000000" w:rsidDel="00000000" w:rsidP="00000000" w:rsidRDefault="00000000" w:rsidRPr="00000000" w14:paraId="00000030">
      <w:pPr>
        <w:shd w:fill="ffffff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hd w:fill="ffffff" w:val="clear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8tsx56y47q5r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5. Положения о рецензировании работ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Все представленные работы редакционная коллегия журнала направляет на рецензирование (двойное слепое). Все рецензенты являются признанными специалистами по тематике рецензируемых материалов и имеют в течение последних трёх лет публикации по тематике рецензируемой статьи. Рецензии хранятся в редакции журнала в течение пяти лет.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При подготовке рецензии рецензенты обязаны пользоваться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инструкциями журнала по рецензированию</w:t>
        </w:r>
      </w:hyperlink>
      <w:r w:rsidDel="00000000" w:rsidR="00000000" w:rsidRPr="00000000">
        <w:rPr>
          <w:rtl w:val="0"/>
        </w:rPr>
        <w:t xml:space="preserve"> и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этическими нормами для рецензентов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Решение о публикации принимается редакционной коллегией журнала на основании экспертных оценок рецензентов с учётом соответствия представленных материалов тематической направленности журнала, их научной значимости и актуальности.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Редакционная коллегия не привлекают к работе рецензентов, которые могут иметь конфликт интересов. Авторы могут сообщать имена людей, назначение которых рецензентами нежелательно из-за возможности возникновения конфликта интересов, объяснив свою позицию.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Авторы рукописи имеют право рекомендовать рецензентов – специалистов в данной области (не более двух персон), удовлетворяющих требованиям п.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5.1</w:t>
        </w:r>
      </w:hyperlink>
      <w:r w:rsidDel="00000000" w:rsidR="00000000" w:rsidRPr="00000000">
        <w:rPr>
          <w:rtl w:val="0"/>
        </w:rPr>
        <w:t xml:space="preserve">. Выбор рецензентов редакционная коллегия оставляет за собой.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Редакция журнала направляет авторам статей копии рецензий или мотивированный отказ, а также обязуется направлять копии рецензий в Министерство образования и науки Российской Федерации при поступлении в редакцию журнала соответствующего запроса без указания сведений о рецензенте.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Статья, нуждающаяся в доработке, направляется авторам с замечаниями рецензента и научного редактора. Авторы должны учесть все замечания, сделанные в процессе рецензирования и редактирования статьи, и ответить на каждое из замечаний. В случае несогласия с рецензентом или редактором автор должен кратко и чётко обосновать свою позицию. После доработки статья повторно рецензируется и редакционная коллегия принимает решение о возможности публикации.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Статья, отправленная редакцией на доработку после рецензии и исправленная в соответствии с замечаниями рецензента, должна быть возвращена в редакцию в течение 30 календарных дней с момента её получения авторами, в этом случае сохраняется первая дата поступления. Статья, возвращённая в редакцию по истечении этого срока, будет иметь новую дату поступления.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Редакция оставляет за собой право отклонять без рецензии статьи, не соответствующие профилю журнала или оформленные с нарушением правил.</w:t>
      </w:r>
    </w:p>
    <w:p w:rsidR="00000000" w:rsidDel="00000000" w:rsidP="00000000" w:rsidRDefault="00000000" w:rsidRPr="00000000" w14:paraId="0000003B">
      <w:pPr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athnet.ru/php/authornotes.phtml?jrnid=vsgtu&amp;wshow=authornotes&amp;option_lang=rus#figure" TargetMode="External"/><Relationship Id="rId11" Type="http://schemas.openxmlformats.org/officeDocument/2006/relationships/hyperlink" Target="http://publicationethics.org/resources/flowcharts" TargetMode="External"/><Relationship Id="rId22" Type="http://schemas.openxmlformats.org/officeDocument/2006/relationships/hyperlink" Target="http://www.mathnet.ru/php/edpolicy.phtml?jrnid=vsgtu&amp;wshow=edpolicy&amp;option_lang=rus#peerReviewProcess" TargetMode="External"/><Relationship Id="rId10" Type="http://schemas.openxmlformats.org/officeDocument/2006/relationships/hyperlink" Target="https://cyberleninka.ru/journal/n/vestnik-samarskogo-gosudarstvennogo-tehnicheskogo-universiteta-seriya-fiziko-matematicheskie-nauki" TargetMode="External"/><Relationship Id="rId21" Type="http://schemas.openxmlformats.org/officeDocument/2006/relationships/hyperlink" Target="http://goo.gl/5InFkH" TargetMode="External"/><Relationship Id="rId13" Type="http://schemas.openxmlformats.org/officeDocument/2006/relationships/hyperlink" Target="http://www.mathnet.ru/vsgtu" TargetMode="External"/><Relationship Id="rId24" Type="http://schemas.openxmlformats.org/officeDocument/2006/relationships/hyperlink" Target="http://www.mathnet.ru/php/authornotes.phtml?jrnid=vsgtu&amp;wshow=authornotes&amp;option_lang=rus#review" TargetMode="External"/><Relationship Id="rId12" Type="http://schemas.openxmlformats.org/officeDocument/2006/relationships/hyperlink" Target="http://publicationethics.org/" TargetMode="External"/><Relationship Id="rId23" Type="http://schemas.openxmlformats.org/officeDocument/2006/relationships/hyperlink" Target="http://www.mathnet.ru/php/edpolicy.phtml?jrnid=vsgtu&amp;wshow=edpolicy&amp;option_lang=rus#publishingEthicsReviw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library.ru/title_about.asp?id=5784" TargetMode="External"/><Relationship Id="rId15" Type="http://schemas.openxmlformats.org/officeDocument/2006/relationships/hyperlink" Target="http://www.mathnet.ru/udc.pdf" TargetMode="External"/><Relationship Id="rId14" Type="http://schemas.openxmlformats.org/officeDocument/2006/relationships/hyperlink" Target="https://www.overleaf.com/read/bzytwtpwfzjj" TargetMode="External"/><Relationship Id="rId17" Type="http://schemas.openxmlformats.org/officeDocument/2006/relationships/hyperlink" Target="http://orcid.org/" TargetMode="External"/><Relationship Id="rId16" Type="http://schemas.openxmlformats.org/officeDocument/2006/relationships/hyperlink" Target="http://www.ams.org/msc/msc2010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overleaf.com/read/bzytwtpwfzjj" TargetMode="External"/><Relationship Id="rId6" Type="http://schemas.openxmlformats.org/officeDocument/2006/relationships/hyperlink" Target="https://rkn.gov.ru/mass-communications/reestr/media/?id=83010" TargetMode="External"/><Relationship Id="rId18" Type="http://schemas.openxmlformats.org/officeDocument/2006/relationships/hyperlink" Target="http://www.mathnet.ru/php/edpolicy.phtml?jrnid=vsgtu&amp;wshow=edpolicy&amp;option_lang=rus#sectionPolicies" TargetMode="External"/><Relationship Id="rId7" Type="http://schemas.openxmlformats.org/officeDocument/2006/relationships/hyperlink" Target="http://goo.gl/niYIQa" TargetMode="External"/><Relationship Id="rId8" Type="http://schemas.openxmlformats.org/officeDocument/2006/relationships/hyperlink" Target="http://www.mathnet.ru/vsg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