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Условия опубликования статьи:</w:t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Представляемая для публикации статья должна быть актуальной, обладать новизной, содержать постановку задач ( проблем), описание основных результатов исследования, полученных автором, выводы.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Заглавия научных статей должны быть информативными, емкими, в них можно использовать только общепринятые сокращения.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др. объектов, имеющих собственные названия; также не используется непереводимый сленг, известный только русскоговорящим специалистам. Это также касается авторских резюме (аннотаций) и ключевых слов.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В журнале «Вестник Иркутского государственного технического университета» принято ограничение на возможное количество статей одного автора в одном выпуске журнала – до одной статьи, выполненной индивидуально либо в соавторстве.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За точность воспроизведения имен, цитат, формул, цифр несет ответственность автор.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Редакционная коллегия оставляет за собой право на редактирование статей без изменения научного содержания авторского варианта.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Редакция научного журнала «Вестник ИрГТУ» проводит независимое одностороннее (внутреннее) рецензирование.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Представленные статьи проходят проверку в программе «Руконтекст».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Статья, направленная автору для исправления или сокращения по электронной почте, должна быть возвращена редакции вместе с письмом автора ( указывающим, как учтены замечания) не позднее одной недели после направления. Иначе статья рассматривается как вновь поступившая. Доработанный вариант статьи рецензируется и рассматривается редколлегией вновь. Датой предоставления статьи считается дата поступления в редакцию исправленного варианта.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3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Редакция пpедоставляет автоpу одну коppектуpу. Изменения и дополнения как в тексте, так и в pисунках не допускаются. Коppектуpа с подписью автоpа и датой подписания сдается в pедакцию в течение тpех дней с момента ее получения.</w:t>
      </w:r>
    </w:p>
    <w:p w:rsidR="00000000" w:rsidDel="00000000" w:rsidP="00000000" w:rsidRDefault="00000000" w:rsidRPr="00000000" w14:paraId="0000000C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При написании и оформлении статей следует придерживаться следующих правил: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В структуру статьи должны входить: ВВЕДЕНИЕ (краткое), ЦЕЛЬ ИССЛЕДОВАНИЯ, МАТЕРИАЛЫ И МЕТОДЫ ИССЛЕДОВАНИЯ, РЕЗУЛЬТАТЫ ИССЛЕДОВАНИЯ И ИХ ОБСУЖДЕНИЕ, ВЫВОДЫ или ЗАКЛЮЧЕНИЕ, библиографический список и Reference.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Статья на электронном носителе должна быть сохранена под именем по фамилии первого автора.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Фамилии авторов статей на английском языке представляются в одной из принятых международных систем транслитерации. Произвольный выбор транслитерации неизбежно приводит к многообразию вариантов представления фамилии одного автора и в результате затрудняет его идентификацию и объединение данных о его публикациях и цитировании под одним профилем (идентификатором – ID автора).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Статья должна быть набрана на компьютере в программе Microsoft Office Word в одном файле.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3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Рекомендуемый объем статьи 8-10 страниц (1 страница – 2000 знаков), не включая таблицы, схемы, рисунки и библиографический список/Reference.</w:t>
      </w:r>
    </w:p>
    <w:p w:rsidR="00000000" w:rsidDel="00000000" w:rsidP="00000000" w:rsidRDefault="00000000" w:rsidRPr="00000000" w14:paraId="00000012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При наборе статьи в Microsoft Word рекомендуются следующие установки: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Параметры страницы и абзаца: отступы сверху и снизу - 2.5 см; слева и справа - 2 см; табуляция - 2 см; ориентация - книжная;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Шрифт - Times New Roman, размер - 12, межстрочный интервал - одинарный, перенос слов – автоматический.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1"/>
          <w:szCs w:val="21"/>
          <w:u w:val="single"/>
          <w:rtl w:val="0"/>
        </w:rPr>
        <w:t xml:space="preserve">При вставке формул использовать Microsoft Equation 3 при установках: элементы формулы выполняются − курсивом; для греческих букв и символов назначать шрифт Symbol, для остальных элементов - Times New Roman. Размер символов: обычный - 12 пт, крупный индекс - 7 пт, мелкий индекс - 5 пт, крупный символ -18 пт, мелкий символ - 12 пт. Все экспликации элементов формул необходимо также выполнять в виде формул.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Рисунки, вставленные в текст, должны быть выполнены с разрешением 300 dpi, B&amp;W - для черно- белых иллюстраций, Grayscale - для полутонов, максимальный размер рисунка с надписью: ширина 150 мм, высота 245 мм, представлены на диске CD в виде файла с расширением *.ВМР, *.TIFF, *.JPG и распечаткой на стандартных листах формата А4, должны допускать перемещение в тексте и возможность изменения размеров. Схемы, графики выполняются во встроенной программе MS Word или в MS Exsel, с приложением файлов.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3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Для построения графиков и диаграмм следует использовать программу Microsoft Office Excel. Каждый рисунок вставляется в текст как объект Microsoft Office Excel.</w:t>
      </w:r>
    </w:p>
    <w:p w:rsidR="00000000" w:rsidDel="00000000" w:rsidP="00000000" w:rsidRDefault="00000000" w:rsidRPr="00000000" w14:paraId="00000018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Образцы оформления графического материала: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lineRule="auto"/>
        <w:ind w:left="720" w:hanging="360"/>
      </w:pPr>
      <w:hyperlink r:id="rId6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График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lineRule="auto"/>
        <w:ind w:left="720" w:hanging="360"/>
      </w:pPr>
      <w:hyperlink r:id="rId7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Таблица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lineRule="auto"/>
        <w:ind w:left="720" w:hanging="360"/>
      </w:pPr>
      <w:hyperlink r:id="rId8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Схема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lineRule="auto"/>
        <w:ind w:left="720" w:hanging="360"/>
      </w:pPr>
      <w:hyperlink r:id="rId9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Формула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lineRule="auto"/>
        <w:ind w:left="720" w:hanging="360"/>
      </w:pPr>
      <w:hyperlink r:id="rId10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Рисунок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320" w:lineRule="auto"/>
        <w:ind w:left="720" w:hanging="360"/>
      </w:pPr>
      <w:hyperlink r:id="rId11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Диаграмма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К статье прилагается: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Сопроводительное письмо (</w:t>
      </w:r>
      <w:hyperlink r:id="rId12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образец</w:t>
        </w:r>
      </w:hyperlink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Авторское заявление (</w:t>
      </w:r>
      <w:hyperlink r:id="rId13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образец</w:t>
        </w:r>
      </w:hyperlink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Лицензионный договор(</w:t>
      </w:r>
      <w:hyperlink r:id="rId14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образец</w:t>
        </w:r>
      </w:hyperlink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);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3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Экспертное заключение (</w:t>
      </w:r>
      <w:hyperlink r:id="rId15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образец</w:t>
        </w:r>
      </w:hyperlink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);</w:t>
      </w:r>
    </w:p>
    <w:p w:rsidR="00000000" w:rsidDel="00000000" w:rsidP="00000000" w:rsidRDefault="00000000" w:rsidRPr="00000000" w14:paraId="00000024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Статья должна содержать: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Шифр УДК;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Реферат (аннотация) –количество слов – не менее 200, ,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Ключевые слова – (от шести до пятнадцати);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• Сведения об авторах: фамилия, имя, отчество (полностью); ученая степень (если есть); звание (если есть) и должность (с указанием подразделения – кафедры, лаборатории, отдела и т.п.); контактный телефон и e-mail, название учреждения, его адрес с индексом;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Название статьи, реферат, ключевые слова, информация в таблицах, подрисуночные подписи и сведения об авторе оформляются (как на русском, так и на английском языках);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Библиографические ссылки в тексте статьи следует давать в квадратных скобках в соответствии с нумерацией в библиографическом списке.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Библиографический список составляется по мере обращения к источникам и оформляется в соответствии с ГОСТ Р 7.0.5 2008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Статья должна иметь личную подпись автора (авторов), заверенную должным образом (в канцелярии учреждения или вуза). На статьях адъюнктов и аспирантов должна стоять также подпись научного руководителя;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Название рубрики, в которой должна быть размещена Ваша статья.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after="3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В статье должен быть Reference, оформленный в соответствии с примером оформления</w:t>
      </w:r>
    </w:p>
    <w:p w:rsidR="00000000" w:rsidDel="00000000" w:rsidP="00000000" w:rsidRDefault="00000000" w:rsidRPr="00000000" w14:paraId="0000002F">
      <w:pPr>
        <w:spacing w:after="160" w:lineRule="auto"/>
        <w:rPr>
          <w:color w:val="337ab7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Возможно представление электронных вариантов документов (в том числе сканированных копий сопроводительного письма, договора, экспертного заключения, рецензии) по электронной почте: E-mail: </w:t>
      </w:r>
      <w:r w:rsidDel="00000000" w:rsidR="00000000" w:rsidRPr="00000000">
        <w:rPr>
          <w:color w:val="337ab7"/>
          <w:sz w:val="21"/>
          <w:szCs w:val="21"/>
          <w:rtl w:val="0"/>
        </w:rPr>
        <w:t xml:space="preserve">pgp@istu.edu</w:t>
      </w:r>
    </w:p>
    <w:p w:rsidR="00000000" w:rsidDel="00000000" w:rsidP="00000000" w:rsidRDefault="00000000" w:rsidRPr="00000000" w14:paraId="00000030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Оригиналы статьи и всех перечисленных выше документов отправляются на адрес редакции по обычной почте:</w:t>
      </w:r>
    </w:p>
    <w:p w:rsidR="00000000" w:rsidDel="00000000" w:rsidP="00000000" w:rsidRDefault="00000000" w:rsidRPr="00000000" w14:paraId="00000031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664074, г. Иркутск, ул. Лермонтова,83, ИРНИТУ, ауд. Д-215, Приваловой Галине Петровне.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Редакция оставляет за собой право отклонять статьи, не отвечающие указанным выше требованиям.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Присланные рукописи обратно не возвращаются. Не допускается направление в редакцию работ, которые посланы в другие издания или напечатаны в них.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Статьи, опубликованные в журнале «Вестник Иркутского государственного технического университета», реферируются и рецензируются.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Перепечатка материалов журнала допускается только с согласования с редакцией.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3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Публикация статьи бесплатная.</w:t>
      </w:r>
    </w:p>
    <w:p w:rsidR="00000000" w:rsidDel="00000000" w:rsidP="00000000" w:rsidRDefault="00000000" w:rsidRPr="00000000" w14:paraId="00000037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Требования к аннотациям: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Качественные авторские аннотации на русском и английском языках необходимы в условиях информационно перенасыщенной среды. Они дают возможность получить представление о содержании статьи и определить интерес к ней до ознакомления с ее полным текстом. Аннотации значительно повышают вероятность ссылок на содержание статьи коллегами и тем самым влияют на индекс цитирования.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Как показывает практика, объем качественной аннотации колеблется в пределах от 200 до 250 знаков. Такой объем позволяет раскрыть содержание статьи и избежать типичных ошибок (повторение в разных вариациях названия статьи, затемнение содержания общими словами, недопустимо краткий объем и др).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Аннотация должна раскрывать суть научной проблемы, рассматриваемой в статье, и включать главный исследовательский вывод. В ней должны быть ясно и кратко изложены предмет и задачи исследования, его методика, новизна и главные результаты.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В качестве помощи для написания аннотаций (рефератов) можно рекомендовать два варианта правил. Один из вариантов – российский ГОСТ 7.9-95 "Реферат и аннотация. Общие требования”, разработанные специалистами ВИНИТИ. Второй – рекомендации к написанию аннотаций для англоязычных статей, подаваемых в журналы издательства Emerald (Великобритания) : </w:t>
      </w:r>
      <w:hyperlink r:id="rId16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http://www.emeraldinsight.com/authors/guides/write/abstracts.htm</w:t>
        </w:r>
      </w:hyperlink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3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Опыт показывает, что самое сложное для российского автора при подготовке аннотации – представить кратко результаты своей работы. Поэтому одним из проверенных вариантов аннотации является краткое повторение в ней структуры статьи, включающей введение, цели и задачи, методы, результаты, заключение. Такой способ составления аннотаций получил распространение и в зарубежных журналах.</w:t>
      </w:r>
    </w:p>
    <w:p w:rsidR="00000000" w:rsidDel="00000000" w:rsidP="00000000" w:rsidRDefault="00000000" w:rsidRPr="00000000" w14:paraId="0000003D">
      <w:pPr>
        <w:spacing w:after="160" w:lineRule="auto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Правила оформления ссылок на различные виды публикаций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Список литературы – это инструмент продвижения в международные базы научного цитирования и индикатор научного кругозора автора. Количество иностранных источников в списке литературы свидетельствует об осведомленности в достижениях науки, а также владении темой.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Список литературы должен быть не менее 20 источников. Минимум 50% из них - за последние 5 лет, в том числе не менее 7 иностранных источников, включенных в глобальные индексы цитирования – Scopus и Web of Science. </w:t>
      </w:r>
      <w:r w:rsidDel="00000000" w:rsidR="00000000" w:rsidRPr="00000000">
        <w:rPr>
          <w:b w:val="1"/>
          <w:color w:val="333333"/>
          <w:sz w:val="21"/>
          <w:szCs w:val="21"/>
          <w:u w:val="single"/>
          <w:rtl w:val="0"/>
        </w:rPr>
        <w:t xml:space="preserve">Необходимо учесть</w:t>
      </w: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, что учебники, учебные пособия, нормативно-правовые акты, ГОСТы, архивные документы, методические указания, «неавторские» интернет-источники, справочники, статистические сборники, диссертации указываются в постраничных сносках и в Библиографическом списке не дублируются.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Не следует ссылаться на диссертации, а также авторефераты диссертаций, правильнее ссылаться на статьи, опубликованные по материалам диссертационных исследований.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Ссылки должны быть проверяемыми.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Нумерация в списке литературы осуществляется по мере цитирования, а не в алфавитном порядке.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В тексте статьи библиографические ссылки даются цифрами в квадратных скобках: [1], [2], [3], [4, 5].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333333"/>
          <w:sz w:val="21"/>
          <w:szCs w:val="21"/>
          <w:u w:val="single"/>
          <w:rtl w:val="0"/>
        </w:rPr>
        <w:t xml:space="preserve">Рекомендуется использовать источники, изданные в течение последних 3–5 лет.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Ссылки на </w:t>
      </w:r>
      <w:r w:rsidDel="00000000" w:rsidR="00000000" w:rsidRPr="00000000">
        <w:rPr>
          <w:b w:val="1"/>
          <w:color w:val="333333"/>
          <w:sz w:val="21"/>
          <w:szCs w:val="21"/>
          <w:u w:val="single"/>
          <w:rtl w:val="0"/>
        </w:rPr>
        <w:t xml:space="preserve">интернет- источники</w:t>
      </w: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 должны быть надежными и долговечными. Как минимум, следует давать полный URL-адрес и дату, когда ссылка стала доступной. Также следует дать любую иную дополнительную информацию, если таковая известна: DOI, имена авторов, даты, ссылки на источники публикации и т. д.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Обязательно указание DOI (индивидуального идентификационного номера) каждой цитируемой статьи (при его наличии).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Название англоязычных журналов следует приводить в сокращении – в соответствии с каталогом названий базы данных MedLine (NLM Catalog). Если журнал не индексируется в MedLine, необходимо указывать его полное название. Названия отечественных журналов сокращать нельзя. Если вы описываете русский источник на английском языке, то необходимо посмотреть есть ли у журнала или издательства официальный перевод названия на английском. Если есть, указываем официальный перевод. Если нет – транслитерируем и через знак « = » указываем перевод названия на английский. Название русскоязычных журналов на английском должно быть взято у издателя (как правило, на сайте журнала есть английская версия).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Названия иностранных журналов и книг следует ставить в оригинале.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Описание источников на русском языке заканчивается указанием языка источника (для русского – In Russ.).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Ссылки на источники на иностранном языке приводятся без изменения.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Указывать всех авторов. Менять очередность авторов в изданных источниках не допускается. Вначале пишется фамилия автора, затем – инициалы.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333333"/>
          <w:sz w:val="21"/>
          <w:szCs w:val="21"/>
          <w:u w:val="single"/>
          <w:rtl w:val="0"/>
        </w:rPr>
        <w:t xml:space="preserve">Самоцитирование автора</w:t>
      </w: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 допускается не более 25% от источников в списке литературы.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333333"/>
          <w:sz w:val="21"/>
          <w:szCs w:val="21"/>
          <w:u w:val="single"/>
          <w:rtl w:val="0"/>
        </w:rPr>
        <w:t xml:space="preserve">Самоцитирование журнала не допускается</w:t>
      </w: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. (Только в исключительных случаях, если идет речь о продолжении исследований авторов).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after="3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Автор несет полную ответственность за точность и достоверность данных, приведенных в рукописи статьи, присылаемой в редакцию журнала.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color w:val="494949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journals.istu.edu/_sys/mod/attach.php?diagramms_1.docx" TargetMode="External"/><Relationship Id="rId10" Type="http://schemas.openxmlformats.org/officeDocument/2006/relationships/hyperlink" Target="http://journals.istu.edu/_sys/mod/attach.php?image_1.docx" TargetMode="External"/><Relationship Id="rId13" Type="http://schemas.openxmlformats.org/officeDocument/2006/relationships/hyperlink" Target="http://journals.istu.edu/_sys/mod/attach.php?statement.docx" TargetMode="External"/><Relationship Id="rId12" Type="http://schemas.openxmlformats.org/officeDocument/2006/relationships/hyperlink" Target="http://journals.istu.edu/_sys/mod/attach.php?covering_letter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journals.istu.edu/_sys/mod/attach.php?formula_1.docx" TargetMode="External"/><Relationship Id="rId15" Type="http://schemas.openxmlformats.org/officeDocument/2006/relationships/hyperlink" Target="http://journals.istu.edu/_sys/mod/attach.php?conclusion.docx" TargetMode="External"/><Relationship Id="rId14" Type="http://schemas.openxmlformats.org/officeDocument/2006/relationships/hyperlink" Target="http://journals.istu.edu/_sys/mod/attach.php?lic_dog.docx" TargetMode="External"/><Relationship Id="rId16" Type="http://schemas.openxmlformats.org/officeDocument/2006/relationships/hyperlink" Target="http://www.emeraldinsight.com/authors/guides/write/abstracts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journals.istu.edu/_sys/mod/attach.php?graphic_1.docx" TargetMode="External"/><Relationship Id="rId7" Type="http://schemas.openxmlformats.org/officeDocument/2006/relationships/hyperlink" Target="http://journals.istu.edu/_sys/mod/attach.php?table_1.docx" TargetMode="External"/><Relationship Id="rId8" Type="http://schemas.openxmlformats.org/officeDocument/2006/relationships/hyperlink" Target="http://journals.istu.edu/_sys/mod/attach.php?scheme_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