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ПРОСИМ ОЗНАКОМИТЬСЯ С ПРАВИЛАМИ ПОДГОТОВКИ РУКОПИСЕЙ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ПЕРЕД СДАЧЕЙ ИХ В ИЗДАТЕЛЬСТВО</w:t>
      </w:r>
    </w:p>
    <w:p w:rsidR="00000000" w:rsidDel="00000000" w:rsidP="00000000" w:rsidRDefault="00000000" w:rsidRPr="00000000" w14:paraId="00000003">
      <w:pPr>
        <w:numPr>
          <w:ilvl w:val="0"/>
          <w:numId w:val="9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Общие положения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Авторский текстовой оригинал должен включать в себя следующие элементы:</w:t>
      </w:r>
    </w:p>
    <w:p w:rsidR="00000000" w:rsidDel="00000000" w:rsidP="00000000" w:rsidRDefault="00000000" w:rsidRPr="00000000" w14:paraId="00000005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титульный лист издания;</w:t>
      </w:r>
    </w:p>
    <w:p w:rsidR="00000000" w:rsidDel="00000000" w:rsidP="00000000" w:rsidRDefault="00000000" w:rsidRPr="00000000" w14:paraId="00000006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аннотацию;</w:t>
      </w:r>
    </w:p>
    <w:p w:rsidR="00000000" w:rsidDel="00000000" w:rsidP="00000000" w:rsidRDefault="00000000" w:rsidRPr="00000000" w14:paraId="00000007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основной текст с заголовками, таблицами, формулами, подрисуночными подписями, иллюстрациями и т.п., включая авторское предисловие, введение;</w:t>
      </w:r>
    </w:p>
    <w:p w:rsidR="00000000" w:rsidDel="00000000" w:rsidP="00000000" w:rsidRDefault="00000000" w:rsidRPr="00000000" w14:paraId="00000008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тексты справочного характера и дополнительные тексты (указатели, комментарии, примечания, приложения);</w:t>
      </w:r>
    </w:p>
    <w:p w:rsidR="00000000" w:rsidDel="00000000" w:rsidP="00000000" w:rsidRDefault="00000000" w:rsidRPr="00000000" w14:paraId="00000009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библиографические списки;</w:t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содержание (оглавление);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проверочный аппарат (контрольные вопросы или контрольные задания (задачи), или тесты);</w:t>
      </w:r>
    </w:p>
    <w:p w:rsidR="00000000" w:rsidDel="00000000" w:rsidP="00000000" w:rsidRDefault="00000000" w:rsidRPr="00000000" w14:paraId="0000000C">
      <w:pPr>
        <w:numPr>
          <w:ilvl w:val="0"/>
          <w:numId w:val="1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сведения об авторах — обязательно указывать контактный электронный адрес и телефоны; при наличии нескольких авторов — контактное лицо, с которым будет связываться редактор для снятия вопросов по всей книге.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Авторский текстовый оригинал должен быть представлен в формате Microsoft Word. Если в тексте присутствуют математические формулы, они должны быть набраны с помощью программы Microsoft Eguation (MathType).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Страницы должны быть пронумерованы в правом верхнем (нижнем) углу без пропусков номеров. В сплошную нумерацию должны быть включены все элементы конкретного авторского оригинала, перечисленные выше.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Оформление текста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Все материалы — текст, подстрочные примечания, подписи к фигурам, литература — печатаются через полтора интервала с использованием стандартного удобочитаемого шрифта (Word, шрифт № 14 Times New Roman). Поля слева — 2 см, справа — 2 см, сверху — 2 см, снизу — 2 см.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Заголовки набираются более крупным шрифтом и отделяются от текста сверху и снизу интервалами.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Там, где впервые в тексте встречается ссылка на рисунок (таблицу), необходимо написать его номер (рис. 1.1, табл. 2.3 и т.д.).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Нумерация рисунков, формул и таблиц должна быть двойной: первая цифра — номер главы (раздела, темы), вторая — номер рисунка (формулы, таблицы) в этой главе.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i w:val="1"/>
          <w:color w:val="666666"/>
          <w:sz w:val="21"/>
          <w:szCs w:val="21"/>
        </w:rPr>
      </w:pPr>
      <w:r w:rsidDel="00000000" w:rsidR="00000000" w:rsidRPr="00000000">
        <w:rPr>
          <w:b w:val="1"/>
          <w:i w:val="1"/>
          <w:color w:val="666666"/>
          <w:sz w:val="21"/>
          <w:szCs w:val="21"/>
          <w:rtl w:val="0"/>
        </w:rPr>
        <w:t xml:space="preserve">2.1. Оформление таблиц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Таблицы должны быть помещены в тексте после абзацев, в которых впервые даны ссылки на них. Каждая таблица должна иметь заголовок.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 таблицах должны быть учтены следующие требования: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соподчиненность строк боковика таблицы должна быть выражена или системой втяжек, или нумерацией строк;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строки боковика таблицы должны быть выровнены с соответствующими строками в графах: горизонтальные и вертикальные линейки в таблице, подлежащие набору, должны быть напечатаны;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цифры в числах, имеющих больше трех знаков, должны разделяться пробелами на классы по три цифры в каждом, за исключением чисел, обозначающих номера и календарные годы; классы цифр в графах должны быть выровнены по вертикали;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примечания и сноски к таблицам должны быть размещены непосредственно под соответствующей таблицей, причем сначала приводят сноски, а затем примечания; сноски к цифрам в таблице обозначают в виде звездочек.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i w:val="1"/>
          <w:color w:val="666666"/>
          <w:sz w:val="21"/>
          <w:szCs w:val="21"/>
        </w:rPr>
      </w:pPr>
      <w:r w:rsidDel="00000000" w:rsidR="00000000" w:rsidRPr="00000000">
        <w:rPr>
          <w:b w:val="1"/>
          <w:i w:val="1"/>
          <w:color w:val="666666"/>
          <w:sz w:val="21"/>
          <w:szCs w:val="21"/>
          <w:rtl w:val="0"/>
        </w:rPr>
        <w:t xml:space="preserve">2.2. Оформление формул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Формулы должны быть отделены от текста интервалом и напечатаны более свободно и более крупным, чем основной текст, шрифтом (Word, шрифт № 16).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Формулы и обозначения должны иметь отчетливое начертание: необходимо соблюдать строгое различие в начертании строчных (малых) и прописных (больших) букв, например: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V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v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S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s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O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о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U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u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K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k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P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p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, а также букв, похожих одна на другую: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q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g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l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e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,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u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o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др. Следует делать различие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O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o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(буквами) и </w:t>
      </w: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0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(нулем). Индексы и степени должны быть расположены строго ниже и строго выше символов, к которым они относятся: штрихи необходимо четко отличать от единицы, а в нижних индексах единицу от запятой.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Русские и греческие буквы, а также буквенные математические (sin, cos, exp, Re, In, max, min и др.) и химические символы (Fe, Cl и др.) набираются прямо, латинские — курсивом.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 формулах относительные размеры и взаимное расположение символов, знаков, индексов и т.п. должны точно соответствовать их значению, а также общему содержанию формулы.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Если набор формул не соответствует указанным выше требованиям, формулы должны быть размечены от руки простым карандашом: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прописные (большие) буквы подчеркиваются двумя линиями снизу, строчные (малые) буквы — сверху;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все прямые символы (русские буквы, математические и химические символы) подчеркиваются снизу прямой скобкой;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греческие буквы подчеркиваются (или обводятся) красным.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Скобки должны полностью охватывать по высоте заключенные в них формулы. Открывающие и закрывающие скобки одного вида должны быть одинаковой высоты. В случае применения одинаковых по начертанию скобок внешние скобки должны быть большего размера, чем внутренние.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21"/>
          <w:szCs w:val="21"/>
          <w:rtl w:val="0"/>
        </w:rPr>
        <w:t xml:space="preserve">Между знаками в уравнениях и схемах химических реакций (+, −, =, →, ↔, ← и др.) и формулами ставится пробел.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rFonts w:ascii="Arial Unicode MS" w:cs="Arial Unicode MS" w:eastAsia="Arial Unicode MS" w:hAnsi="Arial Unicode MS"/>
          <w:color w:val="666666"/>
          <w:sz w:val="21"/>
          <w:szCs w:val="21"/>
          <w:rtl w:val="0"/>
        </w:rPr>
        <w:t xml:space="preserve">Знаки химической связи должны вплотную подходить к символам элементов точно посередине символа без пробела: H-O-H; C-H≡C-H.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i w:val="1"/>
          <w:color w:val="666666"/>
          <w:sz w:val="21"/>
          <w:szCs w:val="21"/>
        </w:rPr>
      </w:pPr>
      <w:r w:rsidDel="00000000" w:rsidR="00000000" w:rsidRPr="00000000">
        <w:rPr>
          <w:b w:val="1"/>
          <w:i w:val="1"/>
          <w:color w:val="666666"/>
          <w:sz w:val="21"/>
          <w:szCs w:val="21"/>
          <w:rtl w:val="0"/>
        </w:rPr>
        <w:t xml:space="preserve">2.3. Оформление рисунков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Иллюстрации должны быть пронумерованы в последовательности, соответствующей их упоминанию в тексте, и привязаны номерами к подрисуночным подписям. Подрисуночные подписи должны выглядеть следующим образом: «</w:t>
      </w: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Рис. 1.1.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График изменения…».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Графические материалы должны быть представлены в форматах TIF, PSD, JPG, CDR, Al, EPS, DWG. Растровые изображения должны иметь разрешение не менее 300 dpi при соответствующих размерах. Приоритеты следующие: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лучше всего: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векторные в формате *.EPS; *.Al; *.CDR, *.DWG (схемы),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точечная графика в формате *.TIF; *.JPG; разрешение 300 dpi, размер — не меньше 50х50 мм (фото),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векторные и точечные в формате *.PDF,</w:t>
      </w:r>
    </w:p>
    <w:p w:rsidR="00000000" w:rsidDel="00000000" w:rsidP="00000000" w:rsidRDefault="00000000" w:rsidRPr="00000000" w14:paraId="0000002E">
      <w:pPr>
        <w:numPr>
          <w:ilvl w:val="0"/>
          <w:numId w:val="10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можно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векторные — весь Office (Word, Excel и т.д.),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не желательно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точечные в формате *.BMP.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Если отсутствуют электронные версии иллюстраций, необходимо предоставить качественный бумажный вариант. Графические материалы в виде ксерокопий рисунков приниматься не будут.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Оформление литературы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Литература приводится по порядку цитирования в конце книги с указанием фамилии и инициалов автора, полного названия книги (статьи), издательства, количества страниц в книге, названия журнала полностью (год, том, номер начальной и конечной страниц статьи). Не следует ссылаться на неопубликованные статьи. Список цитируемой литературы следует печатать на отдельных страницах.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Ссылки на иностранные источники (включая переведенные на русский язык книги) даются обязательно на языке оригинала и сопровождаются в случае перевода на русский язык указанием названия и выходных данных перевода.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ПРАВИЛА ОФОРМЛЕНИЯ СПИСКА ЛИТЕРАТУРЫ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Библиографические записи даются в алфавитном порядке, включая статьи из Интернета, в формате: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ПРИМЕРЫ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Описание книг до 3 авторов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Кейнс, Дж. М.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Общая теория занятости: пер. с англ. М.: Дело: Слово, 1987.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3C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два издательства приводятся через двоеточие;</w:t>
      </w:r>
    </w:p>
    <w:p w:rsidR="00000000" w:rsidDel="00000000" w:rsidP="00000000" w:rsidRDefault="00000000" w:rsidRPr="00000000" w14:paraId="0000003D">
      <w:pPr>
        <w:numPr>
          <w:ilvl w:val="0"/>
          <w:numId w:val="7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инициалы автора пробелом не разделяются.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История России: учебник / под ред. И. И. Иванова. СПб.; Киев: Академия, 2007.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0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два места издания приводятся через точку с запятой;</w:t>
      </w:r>
    </w:p>
    <w:p w:rsidR="00000000" w:rsidDel="00000000" w:rsidP="00000000" w:rsidRDefault="00000000" w:rsidRPr="00000000" w14:paraId="00000041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учебник — не сокращается.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Бердичевский, А. Е., Холмянский, Е. Н., Буглай, В. Б. 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Оборудование для электрической контактной сварки / под общ. ред. А. Е. Бердичевского. М.: Изд-во Моск. гос. ун-та, 2002.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Книга четырех и более авторов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Философия: учеб. пособие / Г. И. Иконникова [и др.]; под ред.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В. Н. Лавриненко. 2-е изд., испр. и доп. М. : Юристъ, 2002.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47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учебное пособие сокращается — учеб. пособие;</w:t>
      </w:r>
    </w:p>
    <w:p w:rsidR="00000000" w:rsidDel="00000000" w:rsidP="00000000" w:rsidRDefault="00000000" w:rsidRPr="00000000" w14:paraId="00000048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если авторов 4 и более, то через косую черту приводится ФИО первых трех авторов (если авторов 4, допустимо приводить всех), остальные указываются – и др. в квадратных скобках — [и др.];</w:t>
      </w:r>
    </w:p>
    <w:p w:rsidR="00000000" w:rsidDel="00000000" w:rsidP="00000000" w:rsidRDefault="00000000" w:rsidRPr="00000000" w14:paraId="00000049">
      <w:pPr>
        <w:numPr>
          <w:ilvl w:val="0"/>
          <w:numId w:val="8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в сведениях об издании указывается сначала цифра с наращением, потом слово «изд.».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Малая энциклопедия стран / cост. Н. Г. Сиротенко, В. А. Менделеев. М.: АСТ; Харьков: Торсинг, 2002.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 если в описании приводятся два блока о месте издания и издательства, они даются через точку с запятой.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Все тома многотомного издания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Савельев, И. В.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Курс общей физики: учеб. пособие для вузов : в 5 кн. М.: Астрель: АСТ, 2001–2002.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Российский энциклопедический словарь: в 2 т. / гл. ред. А. М. Прохоров. М. : Большая рос. энциклопедия, 2001.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 нет наращения при указании количества книг, томов.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Отдельный том многотомного издания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Савельев И. В.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Курс общей физики : учеб. пособие для вузов. В 5 кн. Кн. 2. Электричество и магнетизм. М.: Астрель: АСТ, 2001.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Российский энциклопедический словарь. В 2 т. Т. 1. А-Н / гл. ред.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А. М. Прохоров. М. : Большая рос. энцикл., 2001.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Статья из газеты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Трубилина, М.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Московские легенды: Привидения и призраки стали элементами турбизнеса // Российская газета. 2004. 26 янв.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 на последовательность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 год, число, месяц (название месяца сокращается).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Статья из журнала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Шарапов, М. Г.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Оптимизация газовой защиты при плазменной сварке // Сварочное производство. 2003. № 6. С. 3–6.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 на последовательность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 год, номер журнала (валовый номер не указывается), страница.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Описание автореферата диссертации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Вишняков, И. В.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Модели и методы оценки коммерческих банков в условиях неопределенности : автореф. дис. … канд. экон. наук. М., 2002.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 недопустимо указание диссертаций! Читателям доступны только авторефераты.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Книги и статьи из Интернета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i w:val="1"/>
          <w:color w:val="666666"/>
          <w:sz w:val="21"/>
          <w:szCs w:val="21"/>
          <w:rtl w:val="0"/>
        </w:rPr>
        <w:t xml:space="preserve">Топтыгин, И. Н.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 Математическое введение в курс общей физики: учеб. пособие. СПб., 2000. URL : ftp://ftp.unilib.neva.ru/dl/010.pdf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</w:t>
      </w:r>
    </w:p>
    <w:p w:rsidR="00000000" w:rsidDel="00000000" w:rsidP="00000000" w:rsidRDefault="00000000" w:rsidRPr="00000000" w14:paraId="00000060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после названия не указывается «электронный ресурс» в квадратных скобках ([Электронный ресурс]);</w:t>
      </w:r>
    </w:p>
    <w:p w:rsidR="00000000" w:rsidDel="00000000" w:rsidP="00000000" w:rsidRDefault="00000000" w:rsidRPr="00000000" w14:paraId="00000061">
      <w:pPr>
        <w:numPr>
          <w:ilvl w:val="0"/>
          <w:numId w:val="5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445.71428571428567" w:lineRule="auto"/>
        <w:ind w:left="720" w:hanging="360"/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после адреса точка не ставится.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b w:val="1"/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Интернет-ресурсы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11" w:sz="0" w:val="none"/>
          <w:right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color w:val="666666"/>
          <w:sz w:val="21"/>
          <w:szCs w:val="21"/>
          <w:rtl w:val="0"/>
        </w:rPr>
        <w:t xml:space="preserve">http://www.mosreg.ru/ — Правительство Московской области.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color w:val="666666"/>
          <w:sz w:val="21"/>
          <w:szCs w:val="21"/>
        </w:rPr>
      </w:pPr>
      <w:r w:rsidDel="00000000" w:rsidR="00000000" w:rsidRPr="00000000">
        <w:rPr>
          <w:b w:val="1"/>
          <w:color w:val="666666"/>
          <w:sz w:val="21"/>
          <w:szCs w:val="21"/>
          <w:rtl w:val="0"/>
        </w:rPr>
        <w:t xml:space="preserve">Обратите внимание</w:t>
      </w:r>
      <w:r w:rsidDel="00000000" w:rsidR="00000000" w:rsidRPr="00000000">
        <w:rPr>
          <w:color w:val="666666"/>
          <w:sz w:val="21"/>
          <w:szCs w:val="21"/>
          <w:rtl w:val="0"/>
        </w:rPr>
        <w:t xml:space="preserve">: обязательно указывать название сайта с его титульной страницы.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3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2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666666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