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Основным требованием к публикуемому материалу является соответствие его высоким научным критериям (актуальность, научная новизна и др.). В тексте статей следует отдавать предпочтение ссылкам на публикации последних 15 лет.</w:t>
      </w:r>
    </w:p>
    <w:p w:rsidR="00000000" w:rsidDel="00000000" w:rsidP="00000000" w:rsidRDefault="00000000" w:rsidRPr="00000000" w14:paraId="00000002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Авторский материал может быть представлен как: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e0e0e0" w:val="clear"/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Обзор или обзорная статья (до 16 страниц)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Оригинальная статья (до 8 страниц)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e0e0e0" w:val="clear"/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Краткое сообщение (до 4 страниц)</w:t>
      </w:r>
    </w:p>
    <w:p w:rsidR="00000000" w:rsidDel="00000000" w:rsidP="00000000" w:rsidRDefault="00000000" w:rsidRPr="00000000" w14:paraId="00000006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Для опубликования обзора, объем которого превышает установленную норму, авторам следует предварительно направить в редакцию аннотацию, содержащую мотивировку актуальности предлагаемой темы, приблизительные данные о его содержании, структуре, объеме, количестве иллюстраций и ссылок. По согласованию с редакцией, обзоры могут быть разбиты на несколько частей и опубликованы в нескольких номерах журнала. Обязательным критерием для обзора является использование ссылок на собственные работы (не менее 5% от общего количества ссылок).</w:t>
      </w:r>
    </w:p>
    <w:p w:rsidR="00000000" w:rsidDel="00000000" w:rsidP="00000000" w:rsidRDefault="00000000" w:rsidRPr="00000000" w14:paraId="00000007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журнале не публикуются рецензии, а также тезисы или копии докладов различных конференций.</w:t>
      </w:r>
    </w:p>
    <w:p w:rsidR="00000000" w:rsidDel="00000000" w:rsidP="00000000" w:rsidRDefault="00000000" w:rsidRPr="00000000" w14:paraId="00000008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Редколлегия оставляет за собой право не публиковать статьи вследствие ограниченного объема журнала.</w:t>
      </w:r>
    </w:p>
    <w:p w:rsidR="00000000" w:rsidDel="00000000" w:rsidP="00000000" w:rsidRDefault="00000000" w:rsidRPr="00000000" w14:paraId="00000009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 статьи проходят рецензирование. Результаты рецензирования и решение редколлегии о принятии представленной статьи к публикации в журнале «Вестник Башкирского университета» сообщаются авторам по электронной почте.</w:t>
      </w:r>
    </w:p>
    <w:p w:rsidR="00000000" w:rsidDel="00000000" w:rsidP="00000000" w:rsidRDefault="00000000" w:rsidRPr="00000000" w14:paraId="0000000A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Небольшие исправления стилистического и формального характера вносятся в статью без согласования с авторами. При необходимости более серьезных исправлений правка согласовывается с авторами или статья направляется авторам на доработку. Исправленная рукопись должна быть возвращена в редакцию не позднее чем через два месяца вместе с первоначальным (предшествующим) вариантом статьи и электронной версией окончательного варианта.</w:t>
      </w:r>
    </w:p>
    <w:p w:rsidR="00000000" w:rsidDel="00000000" w:rsidP="00000000" w:rsidRDefault="00000000" w:rsidRPr="00000000" w14:paraId="0000000B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случае принятия статьи к публикации «с исправлениями» авторы, помимо согласованного в процессе рецензирования и редактирования электронного варианта, представляют в редакцию журнала идентичную твердую копию, подписанную ответственным автором.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990000"/>
          <w:sz w:val="20"/>
          <w:szCs w:val="20"/>
          <w:shd w:fill="e0e0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0"/>
          <w:szCs w:val="20"/>
          <w:shd w:fill="e0e0e0" w:val="clear"/>
          <w:rtl w:val="0"/>
        </w:rPr>
        <w:t xml:space="preserve">Статьи, оформленные с нарушением настоящих требований, редакцией не рассматриваются. Авторские материалы не возвращаются.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hd w:fill="e0e0e0" w:val="clear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xm6d038c812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Порядок представления материалов</w:t>
      </w:r>
    </w:p>
    <w:p w:rsidR="00000000" w:rsidDel="00000000" w:rsidP="00000000" w:rsidRDefault="00000000" w:rsidRPr="00000000" w14:paraId="00000010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Первоначально в редакцию следует отправить в электронном виде 3 файла: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e0e0e0" w:val="clear"/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статью;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аннотацию на английском языке;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e0e0e0" w:val="clear"/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сведения об авторах на русском и английском языках (по форме с сайта).</w:t>
      </w:r>
    </w:p>
    <w:p w:rsidR="00000000" w:rsidDel="00000000" w:rsidP="00000000" w:rsidRDefault="00000000" w:rsidRPr="00000000" w14:paraId="00000014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Электронные копии материалов необходимо отправлять на адрес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4e44"/>
          <w:sz w:val="20"/>
          <w:szCs w:val="20"/>
          <w:rtl w:val="0"/>
        </w:rPr>
        <w:t xml:space="preserve">bulletin_bsu@mail.ru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После того как статья будет зарегистрирована (принята к рассмотрению), в редакцию необходимо представить на бумажном носителе: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e0e0e0" w:val="clear"/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направление от организации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(на бланке, с «мокрой» печатью);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текст статьи, подписанный всеми авторами;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текст статьи, без подписей;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аннотация на английском языке;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сведения об авторах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статьи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русском и английском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языках;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подписанный ответственным автором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лицензионный договор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e0e0e0" w:val="clear"/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экспертное заключение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 возможности опубликования в открытой печати.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990000"/>
          <w:sz w:val="20"/>
          <w:szCs w:val="20"/>
          <w:shd w:fill="e0e0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0"/>
          <w:szCs w:val="20"/>
          <w:shd w:fill="e0e0e0" w:val="clear"/>
          <w:rtl w:val="0"/>
        </w:rPr>
        <w:t xml:space="preserve">К рассмотрению принимаются статьи, присланные исключительно по электронной почте. Сопроводительные документы следует направлять в адрес редакции по почте (или передать через общий отдел).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hd w:fill="e0e0e0" w:val="clear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eh9t0er6f112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Структура публикации</w:t>
      </w:r>
    </w:p>
    <w:p w:rsidR="00000000" w:rsidDel="00000000" w:rsidP="00000000" w:rsidRDefault="00000000" w:rsidRPr="00000000" w14:paraId="00000021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построения публикации традиционная. Стиль изложения представляемого материала не является строго регламентированным, но должен соответствовать общим требованиям ведущих научных периодических печатных изданий. Желательно наличие в статье введения, аналитического обзора и обсуждения результатов исследования, экспериментальной части (при необходимости) и выводов. Для всех частей статьи обязательна сквозная нумерация страниц, таблиц, рисунков, схем, литературных ссылок, номеров математических формул и химических соединений.</w:t>
      </w:r>
    </w:p>
    <w:p w:rsidR="00000000" w:rsidDel="00000000" w:rsidP="00000000" w:rsidRDefault="00000000" w:rsidRPr="00000000" w14:paraId="00000022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Публикация должна содержать следующие данные: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e0e0e0" w:val="clear"/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индекс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УДК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заглавие публикации. Если авторы открывают или продолжают тематическое направление, то необходимо представить название направления и порядковый номер части (например: Часть IV);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ФИО авторов;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наименование организаций, где выполнена работа. Почтовый адрес организации;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телефон организации автора, ответственного за переписку;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 автора, ответственного за переписку;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надстрочным индексом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указывается соответствие авторов научным организациям;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символом (*) отмечается автор, ответственный за переписку;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резюме, содержащее основные сведения о цели и предмете исследования, главные результаты и выводы (600–900 символов, включая пробелы);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ключевые слова (не более 10);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e0e0e0" w:val="clear"/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текст публикации.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shd w:fill="e0e0e0" w:val="clear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ad7r9sytt836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Аннотация на английском языке</w:t>
      </w:r>
    </w:p>
    <w:p w:rsidR="00000000" w:rsidDel="00000000" w:rsidP="00000000" w:rsidRDefault="00000000" w:rsidRPr="00000000" w14:paraId="0000002F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Журнал издается на русском (статьи) и английском (аннотации) языках. Аннотация публикации английском языке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Abstract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должна содержать: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e0e0e0" w:val="clear"/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заглавие;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ФИО авторов;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наименование и адрес организаций;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телефон организации автора, ответственного за переписку;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 автора, ответственного за переписку;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резюме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1400–1600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символов, включая пробелы, или 250 слов);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hd w:fill="e0e0e0" w:val="clear"/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ключевые слова (не более 10).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shd w:fill="e0e0e0" w:val="clear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vatkbq4fv7dr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Указания к подготовке текста публикации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hd w:fill="e0e0e0" w:val="clear"/>
        <w:spacing w:before="28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v76r25a12j9z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Общие требования</w:t>
      </w:r>
    </w:p>
    <w:p w:rsidR="00000000" w:rsidDel="00000000" w:rsidP="00000000" w:rsidRDefault="00000000" w:rsidRPr="00000000" w14:paraId="00000039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Текст статьи представляется в редакцию в виде DOCX файла с названием, соответствующим фамилии первого автора статьи в формате Ivanov.docx и должен отвечать следующим требованиям: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e0e0e0" w:val="clear"/>
        <w:spacing w:after="0" w:afterAutospacing="0" w:before="20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параметры страницы: формат – А4; ориентация – книжная; поля для всех сторон – 2 см;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шрифт TimesNewRoman; размер шрифта – 14 пт; межстрочный интервал – 1;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Выравнивание: заголовки – по центру; основной текст – по ширине;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специфические символы набираются шрифтом TimesNewRoman;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e0e0e0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если в статье используются символы, не включенные в стандартные шрифтовые наборы (например, буквы национального алфавита), то нужно использовать unicode-шрифты (к примеру шрифты семейства GNU FreeFont, доступные по адресу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e44"/>
            <w:sz w:val="20"/>
            <w:szCs w:val="20"/>
            <w:rtl w:val="0"/>
          </w:rPr>
          <w:t xml:space="preserve">www.gnu.org/software/freefont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e0e0e0" w:val="clear"/>
        <w:spacing w:after="200" w:before="0" w:before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текст набирается без жестких концов строк и переносов</w:t>
      </w:r>
    </w:p>
    <w:p w:rsidR="00000000" w:rsidDel="00000000" w:rsidP="00000000" w:rsidRDefault="00000000" w:rsidRPr="00000000" w14:paraId="00000040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именах собственных инициалы и фамилия разделяются пробелами (например: И. С. Петров).</w:t>
      </w:r>
    </w:p>
    <w:p w:rsidR="00000000" w:rsidDel="00000000" w:rsidP="00000000" w:rsidRDefault="00000000" w:rsidRPr="00000000" w14:paraId="00000041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инициалы в тексте статьи приводятся перед фамилией (в отличие от списка литературы, где инициалы указываются после фамилии).</w:t>
      </w:r>
    </w:p>
    <w:p w:rsidR="00000000" w:rsidDel="00000000" w:rsidP="00000000" w:rsidRDefault="00000000" w:rsidRPr="00000000" w14:paraId="00000042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качестве десятичного знака используется точка (например: 12.87).</w:t>
      </w:r>
    </w:p>
    <w:p w:rsidR="00000000" w:rsidDel="00000000" w:rsidP="00000000" w:rsidRDefault="00000000" w:rsidRPr="00000000" w14:paraId="00000043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следует различать дефис (-) и тире (–).</w:t>
      </w:r>
    </w:p>
    <w:p w:rsidR="00000000" w:rsidDel="00000000" w:rsidP="00000000" w:rsidRDefault="00000000" w:rsidRPr="00000000" w14:paraId="00000044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дефис не отделяется пробелами, а перед и после тире ставятся пробелы.</w:t>
      </w:r>
    </w:p>
    <w:p w:rsidR="00000000" w:rsidDel="00000000" w:rsidP="00000000" w:rsidRDefault="00000000" w:rsidRPr="00000000" w14:paraId="00000045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перед знаком пунктуации пробел не ставится.</w:t>
      </w:r>
    </w:p>
    <w:p w:rsidR="00000000" w:rsidDel="00000000" w:rsidP="00000000" w:rsidRDefault="00000000" w:rsidRPr="00000000" w14:paraId="00000046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кавычки типа « » используются в русском тексте, в иностранном – кавычки типа „ “.</w:t>
      </w:r>
    </w:p>
    <w:p w:rsidR="00000000" w:rsidDel="00000000" w:rsidP="00000000" w:rsidRDefault="00000000" w:rsidRPr="00000000" w14:paraId="00000047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кавычки и скобки не отделяются пробелами от заключенных в них слов, например: (при 300 К).</w:t>
      </w:r>
    </w:p>
    <w:p w:rsidR="00000000" w:rsidDel="00000000" w:rsidP="00000000" w:rsidRDefault="00000000" w:rsidRPr="00000000" w14:paraId="00000048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единицы измерения физических величин приводятся в системе СИ и отделяются от значения одним пробелом (12.87 мм, 58 Дж/моль, 20 °C, 50 м/с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за исключением градусов и процентов (90°, 50%).</w:t>
      </w:r>
    </w:p>
    <w:p w:rsidR="00000000" w:rsidDel="00000000" w:rsidP="00000000" w:rsidRDefault="00000000" w:rsidRPr="00000000" w14:paraId="00000049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названия химических соединений даются в соответствии с номенклатурой IUPAC.</w:t>
      </w:r>
    </w:p>
    <w:p w:rsidR="00000000" w:rsidDel="00000000" w:rsidP="00000000" w:rsidRDefault="00000000" w:rsidRPr="00000000" w14:paraId="0000004A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все сокращения должны быть расшифрованы.</w:t>
      </w:r>
    </w:p>
    <w:p w:rsidR="00000000" w:rsidDel="00000000" w:rsidP="00000000" w:rsidRDefault="00000000" w:rsidRPr="00000000" w14:paraId="0000004B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 (например, рис. 1; табл. 1),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JPEG и PNG. Желательно, чтобы рисунки и таблицы были как можно компактнее, но без потери качества. В таблицах границы ячеек обозначаются только в «шапке». В таблицах примечания и сноски обозначаются латинскими буквами в курсивном полужирном начертании в виде верхних индексов.</w:t>
      </w:r>
    </w:p>
    <w:p w:rsidR="00000000" w:rsidDel="00000000" w:rsidP="00000000" w:rsidRDefault="00000000" w:rsidRPr="00000000" w14:paraId="0000004C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Рекомендуемая ширина рисунков, графиков и схем: 7.87 см (одна колонка), 17 см (ширина страницы).</w:t>
      </w:r>
    </w:p>
    <w:p w:rsidR="00000000" w:rsidDel="00000000" w:rsidP="00000000" w:rsidRDefault="00000000" w:rsidRPr="00000000" w14:paraId="0000004D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Схемы, графики, рисунки, сложные таблицы и формулы желательно привести дополнительно в виде отдельного файла и на отдельном листе.</w:t>
      </w:r>
    </w:p>
    <w:p w:rsidR="00000000" w:rsidDel="00000000" w:rsidP="00000000" w:rsidRDefault="00000000" w:rsidRPr="00000000" w14:paraId="0000004E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Для создания графиков и диаграмм рекомендуется пользоваться Microsoft Excel. Шрифты – Times New Roman. Графики и диаграммы должны быть представлены в формате, допускающем их редактирование.</w:t>
      </w:r>
    </w:p>
    <w:p w:rsidR="00000000" w:rsidDel="00000000" w:rsidP="00000000" w:rsidRDefault="00000000" w:rsidRPr="00000000" w14:paraId="0000004F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Для создания математических формул следует пользоваться стандартными средствами Microsoft Word (версии 2007 и новее), но максимально использовать возможности шрифтов. Использование сторонних (MathType) или устаревших (Microsoft Equation) редакторов формул недопустимо.</w:t>
      </w:r>
    </w:p>
    <w:p w:rsidR="00000000" w:rsidDel="00000000" w:rsidP="00000000" w:rsidRDefault="00000000" w:rsidRPr="00000000" w14:paraId="00000050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подготовке химических формул и схем химических реакций следует использовать специальные химические редакторы, например, такие, как ChemWindow или ISIS/Draw (оптимальным является использование программы ChemWindow версии 6.0). Допускается использование шрифтов TimesNewRoman. Формулы химических соединений нумеруются полужирными арабскими цифрами (при необходимости с латинской буквой). Нумерация сквозная в соответствии с порядком упоминания в тексте. При первом упоминании в тексте пронумерованного соединения его номер следует заключать в круглые скобки, прописанные полужирным шрифтом «например: соединение (1b)». Номера соединений в тексте должны сопровождаться поясняющим словом: «выделяли альдегид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 но не «выделяли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».</w:t>
      </w:r>
    </w:p>
    <w:p w:rsidR="00000000" w:rsidDel="00000000" w:rsidP="00000000" w:rsidRDefault="00000000" w:rsidRPr="00000000" w14:paraId="00000051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Нумерация математических формул приводится справа от формулы курсивом в круглых скобках. «x = a,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)».</w:t>
      </w:r>
    </w:p>
    <w:p w:rsidR="00000000" w:rsidDel="00000000" w:rsidP="00000000" w:rsidRDefault="00000000" w:rsidRPr="00000000" w14:paraId="00000052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Ссылки на математические формулы приводятся в круглых скобках курсивом и сопровождаются определяющим словом. Например: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0"/>
          <w:szCs w:val="20"/>
          <w:shd w:fill="e0e0e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shd w:fill="e0e0e0" w:val="clear"/>
          <w:rtl w:val="0"/>
        </w:rPr>
        <w:t xml:space="preserve">...согласно уравнению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shd w:fill="e0e0e0" w:val="clear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shd w:fill="e0e0e0" w:val="clear"/>
          <w:rtl w:val="0"/>
        </w:rPr>
        <w:t xml:space="preserve">)...:</w:t>
      </w:r>
    </w:p>
    <w:p w:rsidR="00000000" w:rsidDel="00000000" w:rsidP="00000000" w:rsidRDefault="00000000" w:rsidRPr="00000000" w14:paraId="00000054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Ссылки на цитируемую литературу даются цифрами, заключенными в квадратные скобки, например, [1]. В случае необходимости указания страницы её номер приводится после номера ссылки через запятую: [1, с. 334]. Ссылка на столбцы в справочниках, словарях и т.п. обозначается как [1, ст. 1211]. Транскрипцию фамилий и имен, встречающихся в ссылках,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000000" w:rsidDel="00000000" w:rsidP="00000000" w:rsidRDefault="00000000" w:rsidRPr="00000000" w14:paraId="00000055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Список литературы оформляется в соответствии с примерами оформления литературы.</w:t>
      </w:r>
    </w:p>
    <w:p w:rsidR="00000000" w:rsidDel="00000000" w:rsidP="00000000" w:rsidRDefault="00000000" w:rsidRPr="00000000" w14:paraId="00000056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Нумерация в списке литературы в порядке упоминания источников в тексте или в алфавитном порядке.</w:t>
      </w:r>
    </w:p>
    <w:p w:rsidR="00000000" w:rsidDel="00000000" w:rsidP="00000000" w:rsidRDefault="00000000" w:rsidRPr="00000000" w14:paraId="00000057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Литературный источник в списке литературы указывается один раз (ему присваивается уникальный номер, который используется по всему тексту публикации).</w:t>
      </w:r>
    </w:p>
    <w:p w:rsidR="00000000" w:rsidDel="00000000" w:rsidP="00000000" w:rsidRDefault="00000000" w:rsidRPr="00000000" w14:paraId="00000058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допускается замена названия источника на фразу «Там же».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shd w:fill="e0e0e0" w:val="clear"/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9syvvqpidkpx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Примеры оформления литературы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e0e0e0" w:val="clear"/>
        <w:spacing w:after="200" w:before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Если статья в научном журнале выходит также в переводной версии журнала, то в библиографии должен быть указан именно переводной вариант.</w:t>
      </w:r>
    </w:p>
    <w:p w:rsidR="00000000" w:rsidDel="00000000" w:rsidP="00000000" w:rsidRDefault="00000000" w:rsidRPr="00000000" w14:paraId="0000005D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Голицын С. П. Принципы фармакотерапии желудочковых нарушений ритма сердца // Клиническая фармакология и терапия. 1997. Т. 6. №3. С. 14–16.</w:t>
      </w:r>
    </w:p>
    <w:p w:rsidR="00000000" w:rsidDel="00000000" w:rsidP="00000000" w:rsidRDefault="00000000" w:rsidRPr="00000000" w14:paraId="0000005E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Chartrand D., Hanan G. S. Optoelectronic Properties and Structural Effects of the Incremental Addition of Pyridyl Moieties on a Rhodium Dimer // J. Phys. Chem. A. 2014. Vol. 118. No. 45. Pp. 10340–10352.</w:t>
      </w:r>
    </w:p>
    <w:p w:rsidR="00000000" w:rsidDel="00000000" w:rsidP="00000000" w:rsidRDefault="00000000" w:rsidRPr="00000000" w14:paraId="0000005F">
      <w:pPr>
        <w:pStyle w:val="Heading4"/>
        <w:keepNext w:val="0"/>
        <w:keepLines w:val="0"/>
        <w:shd w:fill="e0e0e0" w:val="clear"/>
        <w:spacing w:after="40" w:befor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bookmarkStart w:colFirst="0" w:colLast="0" w:name="_2d8fjwnrmabd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Сборники статей:</w:t>
      </w:r>
    </w:p>
    <w:p w:rsidR="00000000" w:rsidDel="00000000" w:rsidP="00000000" w:rsidRDefault="00000000" w:rsidRPr="00000000" w14:paraId="00000060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Weekly J. A., Ployhart R. E. An introduction to situational judgment testing // Situational judgment tests: theory, method and application. New Jersey: Lawrence Erlbaum Associates, 2006. Pp. 1–12.</w:t>
      </w:r>
    </w:p>
    <w:p w:rsidR="00000000" w:rsidDel="00000000" w:rsidP="00000000" w:rsidRDefault="00000000" w:rsidRPr="00000000" w14:paraId="00000061">
      <w:pPr>
        <w:pStyle w:val="Heading4"/>
        <w:keepNext w:val="0"/>
        <w:keepLines w:val="0"/>
        <w:shd w:fill="e0e0e0" w:val="clear"/>
        <w:spacing w:after="40" w:befor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bookmarkStart w:colFirst="0" w:colLast="0" w:name="_2yk1yrwkfb34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Книги:</w:t>
      </w:r>
    </w:p>
    <w:p w:rsidR="00000000" w:rsidDel="00000000" w:rsidP="00000000" w:rsidRDefault="00000000" w:rsidRPr="00000000" w14:paraId="00000062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Пригожин И., Стенгерс И. Порядок из хаоса. Новый диалог человека с природой. М.: КомКнига, 2005. С. 258.</w:t>
      </w:r>
    </w:p>
    <w:p w:rsidR="00000000" w:rsidDel="00000000" w:rsidP="00000000" w:rsidRDefault="00000000" w:rsidRPr="00000000" w14:paraId="00000063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Толковый словарь русского языка начала XXI века. Актуальная лексика / Под ред. Г. Н. Скляревской. М.: Эксмо, 2007. 1136 с.</w:t>
      </w:r>
    </w:p>
    <w:p w:rsidR="00000000" w:rsidDel="00000000" w:rsidP="00000000" w:rsidRDefault="00000000" w:rsidRPr="00000000" w14:paraId="00000064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Sadler P., Ethier N., Woody W. Interpersonal complementarity // Handbook of interpersonal psychology: theory, research, assessment and therapeutic interventions / Ed. L. W. Horowitz, S. Strack. Hoboken, New Jersey: Wiley, 2011. Pp. 123–143.</w:t>
      </w:r>
    </w:p>
    <w:p w:rsidR="00000000" w:rsidDel="00000000" w:rsidP="00000000" w:rsidRDefault="00000000" w:rsidRPr="00000000" w14:paraId="00000065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Horowitz L. W., Strack S. Interpersonal complementarity // Handbook of interpersonal psychology: theory, research, assessment and therapeutic interventions / Comp. R. R. Gaziziva, B. U. Ushatova. Hoboken, New Jersey: Wiley, 2011. Pp. 123–143.</w:t>
      </w:r>
    </w:p>
    <w:p w:rsidR="00000000" w:rsidDel="00000000" w:rsidP="00000000" w:rsidRDefault="00000000" w:rsidRPr="00000000" w14:paraId="00000066">
      <w:pPr>
        <w:pStyle w:val="Heading4"/>
        <w:keepNext w:val="0"/>
        <w:keepLines w:val="0"/>
        <w:shd w:fill="e0e0e0" w:val="clear"/>
        <w:spacing w:after="40" w:befor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bookmarkStart w:colFirst="0" w:colLast="0" w:name="_btgmwmlpr5az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Диссертации:</w:t>
      </w:r>
    </w:p>
    <w:p w:rsidR="00000000" w:rsidDel="00000000" w:rsidP="00000000" w:rsidRDefault="00000000" w:rsidRPr="00000000" w14:paraId="00000067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Никитина А. Г. Договоры о передаче исключительных прав на объекты интеллектуальной собственности в странах СНГ: автореф. дис. ... канд. юрид. наук. М., 2011. 24 с.</w:t>
      </w:r>
    </w:p>
    <w:p w:rsidR="00000000" w:rsidDel="00000000" w:rsidP="00000000" w:rsidRDefault="00000000" w:rsidRPr="00000000" w14:paraId="00000068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Бородин Б. Б. Феномен фортепианной транскрипции: опыт комплексного исследования: дис. ... д-ра искусствоведения. М., 2006. 45 с.</w:t>
      </w:r>
    </w:p>
    <w:p w:rsidR="00000000" w:rsidDel="00000000" w:rsidP="00000000" w:rsidRDefault="00000000" w:rsidRPr="00000000" w14:paraId="00000069">
      <w:pPr>
        <w:pStyle w:val="Heading4"/>
        <w:keepNext w:val="0"/>
        <w:keepLines w:val="0"/>
        <w:shd w:fill="e0e0e0" w:val="clear"/>
        <w:spacing w:after="40" w:befor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bookmarkStart w:colFirst="0" w:colLast="0" w:name="_f2xvqxecfjn2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URL:</w:t>
      </w:r>
    </w:p>
    <w:p w:rsidR="00000000" w:rsidDel="00000000" w:rsidP="00000000" w:rsidRDefault="00000000" w:rsidRPr="00000000" w14:paraId="0000006A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Экономика и жизнь. URL: http://www.mediaguide.ru/?p=house&amp;house_id=5</w:t>
      </w:r>
    </w:p>
    <w:p w:rsidR="00000000" w:rsidDel="00000000" w:rsidP="00000000" w:rsidRDefault="00000000" w:rsidRPr="00000000" w14:paraId="0000006B">
      <w:pPr>
        <w:pStyle w:val="Heading4"/>
        <w:keepNext w:val="0"/>
        <w:keepLines w:val="0"/>
        <w:shd w:fill="e0e0e0" w:val="clear"/>
        <w:spacing w:after="40" w:befor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bookmarkStart w:colFirst="0" w:colLast="0" w:name="_ig3hlfs3gw4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Тезисы докладов</w:t>
      </w:r>
    </w:p>
    <w:p w:rsidR="00000000" w:rsidDel="00000000" w:rsidP="00000000" w:rsidRDefault="00000000" w:rsidRPr="00000000" w14:paraId="0000006C">
      <w:pPr>
        <w:shd w:fill="e0e0e0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Курганов С. А., Филаретов В. В. Схемно-алгебраические тождества топологических функций для линейных электрических цепей // Схемно-алгебраические модели активных электрических цепей: Синтез, анализ, диагностика. Тр. международ. конф. КЛИН-2005. Ульяновск: УлГТУ, 2005. Т. 4. С. 95-106.</w:t>
      </w:r>
    </w:p>
    <w:p w:rsidR="00000000" w:rsidDel="00000000" w:rsidP="00000000" w:rsidRDefault="00000000" w:rsidRPr="00000000" w14:paraId="0000006D">
      <w:pPr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bulletin-bsu.com/files/sample_abstract.doc" TargetMode="External"/><Relationship Id="rId10" Type="http://schemas.openxmlformats.org/officeDocument/2006/relationships/hyperlink" Target="http://udk-codes.net/" TargetMode="External"/><Relationship Id="rId12" Type="http://schemas.openxmlformats.org/officeDocument/2006/relationships/hyperlink" Target="http://www.gnu.org/software/freefont" TargetMode="External"/><Relationship Id="rId9" Type="http://schemas.openxmlformats.org/officeDocument/2006/relationships/hyperlink" Target="http://bulletin-bsu.com/files/expert_report.doc" TargetMode="External"/><Relationship Id="rId5" Type="http://schemas.openxmlformats.org/officeDocument/2006/relationships/styles" Target="styles.xml"/><Relationship Id="rId6" Type="http://schemas.openxmlformats.org/officeDocument/2006/relationships/hyperlink" Target="http://bulletin-bsu.com/files/direction.doc" TargetMode="External"/><Relationship Id="rId7" Type="http://schemas.openxmlformats.org/officeDocument/2006/relationships/hyperlink" Target="http://bulletin-bsu.com/files/autors_info.doc" TargetMode="External"/><Relationship Id="rId8" Type="http://schemas.openxmlformats.org/officeDocument/2006/relationships/hyperlink" Target="http://bulletin-bsu.com/files/lice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