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0" w:before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bookmarkStart w:colFirst="0" w:colLast="0" w:name="_hvq8pivx96qo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Требования к оформлению статей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1. Содержание статьи должно соответствовать тематике журнала.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Перед публикацией все статьи проверяются программой eTXT Антиплагиат. К публикации принимаются статьи с уникальностью текста не менее 65%.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3. Таблицы в тексте должны нумероваться и иметь заголовки, размещенные над полем таблицы.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4. В статье должны быть указаны следующие данные: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название статьи;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cведения об авторах - фамилия, имя, отчество авторов (полностью), ученая степень, ученое звание, должность, место работы/учебы. Важно четко, не допуская иной трактовки, указать место работы/учебы и должность без каких-либо сокращений в именительном падеже;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аннотация об актуальности и новизне темы, главных содержательных аспектах.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ключевые слова по содержанию статьи (8–10 слов или словосочетаний). Каждое ключевое слово или словосочетание отделяется от другого запятой;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код УДК;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5. Включенные в пристатейный список библиографические описания цитируемых, рассматриваемых или упоминаемых в тексте статьи других документов связывают отсылками с конкретным фрагментом текста. При отсылке к произведению, описание которого включено в библиографический список, в тексте статьи после упоминания о нем (после цитаты из него) проставляют в квадратных скобках номер, под которым оно значится в библиографическом списке, и страницы, а в необходимых случаях том (выпуск, часть и т.д.), например: [1, т. 2, с. 25].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Пристатейный библиографический список литературы размещается после текста статьи, предваряется словом «Библиографический список», оформляется в порядке упоминания или цитирования в тексте статьи (</w:t>
      </w: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не в алфавитном порядке</w:t>
      </w: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), нумеруется (начиная с первого номера).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Библиографическая ссылка</w:t>
      </w: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 содержит библиографические сведения о цитируемом, рассматриваемом или упоминаемом в тексте статьи другом документе, необходимые и достаточные для его идентификации, поиска и общей характеристики.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Библиографические ссылки оформляются в виде затекстовых библиографических ссылок в соответствии с ГОСТ Р 7.0.5-2008 и ГОСТ 7.82-2001.Образцы оформления ссылок: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1. В тексте: [10, с. 81] В затекстовой ссылке: 10. Бердяев Н.А. Смысл истории. М.: Мысль, 1990. 175 с.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2. В тексте: [Бахтин, 2003, с. 18] В затекстовой ссылке: Бахтин М.М. Формальный метод в литературоведении: критическое введение в социальную поэтику. М.: Лабиринт, 2003. 192 с.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3. В тексте: [Целищев, ч. 1, с. 17] В затекстовой ссылке: Целищев В.В. Философия математики. Новосибирск: Изд-во НГУ, 2002. Ч. 1-2.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Записи в библиографическом списке оформляются по правилам описания библиографических ссылок в соответствии с ГОСТ Р 7.0.5-2008 и могут быть использованы для описания библиографических ссылок статьи.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Примеры библиографических ссылок: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Proffer K. The Silver Age of Russian Culture. Michigan Un., 1975 ; Boult G. The Silver Age: Russian Art of the Early 20th Century and the “World of Art Group”. Calif. Un., 1979.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Кассу Ж. Энциклопедия символизма. М., 1998 ; Пайман А. История русского символизма. М., 1998.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История русской литературы. ХХ век: Серебряный век. М., 1995.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Стернин Г.Ю. Художественная жизнь России 1900–1910-х гг. М., 1988 ; Его же. Художественная жизнь России начала ХХ в. М., 1976 ; Неклюдова М.Г. Традиции и новаторство в русском искусстве конца XIX – начала ХХ в. М., 1991.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ГАРФ. Ф. 130. Оп. 6. Д. 305. Л. 32–35.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Руднев В.П. Словарь культуры ХХ в. М., 1997 ; Культурология. ХХ век. Словарь. СПб., 1997 ; Кассу Ж. Энциклопедия символизма. М., 1998 ; Власов В.Г. Стили в искусстве : словарь. В 3 т. СПб., 1995 ; The Cambridge History of Russian Literature. Camb. Univ. Press, 1992 и др.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Милюков П.Н. Живой Пушкин. М., 1997.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Оцуп Н.А. Современники: Воспоминания. Париж, 1961.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Ронен О. Серебряный век как умысел и вымысел. М., 2000.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111111"/>
          <w:sz w:val="21"/>
          <w:szCs w:val="21"/>
          <w:rtl w:val="0"/>
        </w:rPr>
        <w:t xml:space="preserve">Вести. 1909. № 1.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111111"/>
          <w:sz w:val="21"/>
          <w:szCs w:val="21"/>
          <w:rtl w:val="0"/>
        </w:rPr>
        <w:t xml:space="preserve">Вести. 1909. № 1.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Дирина А.И. Право военнослужащих Российской Федерации на свободу ассоциаций // Военное право: сетевой журнал. 2007. URL: http://www.voennoepravo.ru/node/2149 (дата обращения: 19.09.2007).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111111"/>
          <w:sz w:val="21"/>
          <w:szCs w:val="21"/>
          <w:rtl w:val="0"/>
        </w:rPr>
        <w:t xml:space="preserve">Маркарян Э.С. Узловые проблемы теории культурной традиции // Советская этнография. 1981. № 2. С. 78–96.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Пример оформления статьи: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УДК 347.92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Правовой статус несовершеннолетнего в Российской Федерации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i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color w:val="111111"/>
          <w:sz w:val="21"/>
          <w:szCs w:val="21"/>
          <w:rtl w:val="0"/>
        </w:rPr>
        <w:t xml:space="preserve">Иванова Ольга Владимировна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i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color w:val="111111"/>
          <w:sz w:val="21"/>
          <w:szCs w:val="21"/>
          <w:rtl w:val="0"/>
        </w:rPr>
        <w:t xml:space="preserve">Московский государственный социальный университет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i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color w:val="111111"/>
          <w:sz w:val="21"/>
          <w:szCs w:val="21"/>
          <w:rtl w:val="0"/>
        </w:rPr>
        <w:t xml:space="preserve">кандидат социологических наук, доцент кафедры гражданского права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Аннотация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Данная статья посвящена обзору норм отечественного законодательства, регулирующих правовое положение несовершеннолетних. Проведенное исследование позволяет утверждать, что правовой статус несовершеннолетнего является межотраслевым институтом, включающим систему норм, регламентирующих права, свободы и обязанности человека с рождения до достижения восемнадцатилетнего возраста. Данная проблематика имеет многогранный характер.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Ключевые слова:</w:t>
      </w: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 нормы российского законодательства, правовой статус несовершеннолетнего, ребенок, дети, малолетние, несовершеннолетние, молодежь.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Семейный кодекс Российской Федерации (далее – СК РФ) [1] в ст. 54 определяет, что ребенком признается лицо, не достигшее 18 лет. Понятие «дети» используется как форма множественного числа слова «ребенок» [2, с. 163]. Термин «молодежь» трактуется различным образом. Как правило, молодежью признают социально-возрастную группу в возрасте от 14 до 30 лет (возрастная классификация ООН – 14–25 лет) [3, с. 28].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Таблица 1 – Название таблицы</w:t>
      </w:r>
    </w:p>
    <w:tbl>
      <w:tblPr>
        <w:tblStyle w:val="Table1"/>
        <w:tblW w:w="9635.0" w:type="dxa"/>
        <w:jc w:val="left"/>
        <w:tblInd w:w="100.0" w:type="pc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405"/>
        <w:gridCol w:w="2405"/>
        <w:gridCol w:w="2405"/>
        <w:gridCol w:w="2420"/>
        <w:tblGridChange w:id="0">
          <w:tblGrid>
            <w:gridCol w:w="2405"/>
            <w:gridCol w:w="2405"/>
            <w:gridCol w:w="2405"/>
            <w:gridCol w:w="2420"/>
          </w:tblGrid>
        </w:tblGridChange>
      </w:tblGrid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1111"/>
                <w:sz w:val="21"/>
                <w:szCs w:val="21"/>
                <w:rtl w:val="0"/>
              </w:rPr>
              <w:t xml:space="preserve">Текст</w:t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</w:rPr>
        <w:drawing>
          <wp:inline distB="114300" distT="114300" distL="114300" distR="114300">
            <wp:extent cx="1828800" cy="1435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240" w:before="240" w:line="360" w:lineRule="auto"/>
        <w:jc w:val="center"/>
        <w:rPr>
          <w:rFonts w:ascii="Georgia" w:cs="Georgia" w:eastAsia="Georgia" w:hAnsi="Georgia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Рисунок 1. Название рисунка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360" w:lineRule="auto"/>
        <w:jc w:val="both"/>
        <w:rPr>
          <w:rFonts w:ascii="Georgia" w:cs="Georgia" w:eastAsia="Georgia" w:hAnsi="Georgia"/>
          <w:b w:val="1"/>
          <w:color w:val="11111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111111"/>
          <w:sz w:val="21"/>
          <w:szCs w:val="21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111111"/>
          <w:sz w:val="21"/>
          <w:szCs w:val="21"/>
          <w:rtl w:val="0"/>
        </w:rPr>
        <w:t xml:space="preserve">Семейный кодекс Российской Федерации от 29 декабря 1995 г. № 223-ФЗ (ред. от 30.11.2011 № 363-ФЗ) // Собрание законодательства Российской Федерации. 1996. № 1. Ст. 16 ; Официальный интернет-портал правовой информации. URL: http://www.pravo.gov.ru (дата обращения: 01.12.2011).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Ожегов С.И., Шведова Н.Ю. Толковый словарь русского языка. М., 1998.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111111"/>
          <w:sz w:val="21"/>
          <w:szCs w:val="21"/>
          <w:rtl w:val="0"/>
        </w:rPr>
        <w:t xml:space="preserve">Ростовская Т.К., Ростовская И.В. О развитии системы защиты прав несовершеннолетних и молодежи // Вопросы ювенальной юстиции. 2010. № 3.</w:t>
      </w:r>
    </w:p>
    <w:p w:rsidR="00000000" w:rsidDel="00000000" w:rsidP="00000000" w:rsidRDefault="00000000" w:rsidRPr="00000000" w14:paraId="0000003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11111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11111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