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УВАЖАЕМЫЕ АВТОРЫ!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Журнал публикует оригинальные статьи на русском и английском языках, соответствующие тематике издания согласно его рубрикам.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Редакция не принимает к рассмотрению материалы с количеством соавторов больше трех, за исключением статей по результатам экспериментальных исследований.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Представляемая для публикации статья должна быть актуальной, содержать постановку задач (проблем), описание основных результатов исследования, полученных автором, выводы и соответствовать правилам оформления. К публикации принимаются статьи с уникальностью текста не менее 70% (антиплагиат.ру).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color w:val="333333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</w:rPr>
        <w:drawing>
          <wp:inline distB="114300" distT="114300" distL="114300" distR="114300">
            <wp:extent cx="5016500" cy="2501900"/>
            <wp:effectExtent b="38100" l="38100" r="38100" t="38100"/>
            <wp:docPr descr="Порядок" id="1" name="image1.jpg"/>
            <a:graphic>
              <a:graphicData uri="http://schemas.openxmlformats.org/drawingml/2006/picture">
                <pic:pic>
                  <pic:nvPicPr>
                    <pic:cNvPr descr="Порядок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2501900"/>
                    </a:xfrm>
                    <a:prstGeom prst="rect"/>
                    <a:ln w="38100">
                      <a:solidFill>
                        <a:srgbClr val="EEEEEE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color w:val="333333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0c5390"/>
            <w:sz w:val="21"/>
            <w:szCs w:val="21"/>
            <w:highlight w:val="white"/>
            <w:rtl w:val="0"/>
          </w:rPr>
          <w:t xml:space="preserve">Центр поддержки ученых </w:t>
        </w:r>
      </w:hyperlink>
      <w:r w:rsidDel="00000000" w:rsidR="00000000" w:rsidRPr="00000000">
        <w:rPr>
          <w:sz w:val="21"/>
          <w:szCs w:val="21"/>
          <w:highlight w:val="white"/>
          <w:rtl w:val="0"/>
        </w:rPr>
        <w:t xml:space="preserve">предоставляет редакционно-издательские услуги (выполнение редакционно-издательской обработки, создание оригинал-макета, размещение статей в библиографических базах, продвижение статьи). Расчет стоимости услуг в ЦЕНТРЕ можно выполнить самостоятельно с помощью интерактивного </w:t>
      </w:r>
      <w:hyperlink r:id="rId8">
        <w:r w:rsidDel="00000000" w:rsidR="00000000" w:rsidRPr="00000000">
          <w:rPr>
            <w:color w:val="0c5390"/>
            <w:sz w:val="21"/>
            <w:szCs w:val="21"/>
            <w:highlight w:val="white"/>
            <w:rtl w:val="0"/>
          </w:rPr>
          <w:t xml:space="preserve">калькулятора</w:t>
        </w:r>
      </w:hyperlink>
      <w:r w:rsidDel="00000000" w:rsidR="00000000" w:rsidRPr="00000000">
        <w:rPr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color w:val="333333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jc w:val="center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ПРЕДОСТАВЛЕНИЕ МАТЕРИАЛОВ: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По адресу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pnojournal@mail.ru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принимаются следующие материалы: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b w:val="1"/>
          <w:i w:val="1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sz w:val="21"/>
          <w:szCs w:val="21"/>
          <w:highlight w:val="white"/>
          <w:rtl w:val="0"/>
        </w:rPr>
        <w:t xml:space="preserve">1)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sz w:val="21"/>
          <w:szCs w:val="21"/>
          <w:highlight w:val="white"/>
          <w:rtl w:val="0"/>
        </w:rPr>
        <w:t xml:space="preserve">Информация об авторе: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Ф.И.О.;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Страна, город (село);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Ученое звание (если имеется);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Учёная степень (если имеется);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Должность;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Место работы (учебы) в именительном падеже;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E-mail;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ORCID ID (</w:t>
      </w:r>
      <w:hyperlink r:id="rId9">
        <w:r w:rsidDel="00000000" w:rsidR="00000000" w:rsidRPr="00000000">
          <w:rPr>
            <w:i w:val="1"/>
            <w:color w:val="0c5390"/>
            <w:sz w:val="21"/>
            <w:szCs w:val="21"/>
            <w:highlight w:val="white"/>
            <w:rtl w:val="0"/>
          </w:rPr>
          <w:t xml:space="preserve">http://orcid.org/xxxx-xxxx-xxxx-xxxx</w:t>
        </w:r>
      </w:hyperlink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44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Scopus ID.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sz w:val="21"/>
          <w:szCs w:val="21"/>
          <w:highlight w:val="white"/>
          <w:rtl w:val="0"/>
        </w:rPr>
        <w:t xml:space="preserve">2)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sz w:val="21"/>
          <w:szCs w:val="21"/>
          <w:highlight w:val="white"/>
          <w:rtl w:val="0"/>
        </w:rPr>
        <w:t xml:space="preserve">Текст статьи: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color w:val="333333"/>
          <w:sz w:val="21"/>
          <w:szCs w:val="21"/>
          <w:highlight w:val="white"/>
          <w:rtl w:val="0"/>
        </w:rPr>
        <w:t xml:space="preserve">УДК;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color w:val="333333"/>
          <w:sz w:val="21"/>
          <w:szCs w:val="21"/>
          <w:highlight w:val="white"/>
          <w:rtl w:val="0"/>
        </w:rPr>
        <w:t xml:space="preserve">Направление статьи;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Заголовок;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Аннотация (не менее 17 строк); — &gt; </w:t>
      </w:r>
      <w:hyperlink r:id="rId10">
        <w:r w:rsidDel="00000000" w:rsidR="00000000" w:rsidRPr="00000000">
          <w:rPr>
            <w:i w:val="1"/>
            <w:color w:val="0c5390"/>
            <w:sz w:val="21"/>
            <w:szCs w:val="21"/>
            <w:highlight w:val="white"/>
            <w:rtl w:val="0"/>
          </w:rPr>
          <w:t xml:space="preserve">см. рекомендации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Ключевые слова (до 7 словосочетаний);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Текст статьи (настоятельно рекомендуется разбивать по разделам: введение, материалы и методы, результаты исследования, обсуждение результатов, заключение); — &gt; </w:t>
      </w:r>
      <w:hyperlink r:id="rId11">
        <w:r w:rsidDel="00000000" w:rsidR="00000000" w:rsidRPr="00000000">
          <w:rPr>
            <w:i w:val="1"/>
            <w:color w:val="0c5390"/>
            <w:sz w:val="21"/>
            <w:szCs w:val="21"/>
            <w:highlight w:val="white"/>
            <w:rtl w:val="0"/>
          </w:rPr>
          <w:t xml:space="preserve">см. рекомендации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44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Литература — рекомендуемое количество: более 15 источников, в том числе на современные исследования (статьи из зарубежных журналов, включенных в базы Web of Science, Scopus), опубликованные за последние пять лет.</w:t>
      </w:r>
    </w:p>
    <w:p w:rsidR="00000000" w:rsidDel="00000000" w:rsidP="00000000" w:rsidRDefault="00000000" w:rsidRPr="00000000" w14:paraId="0000001E">
      <w:pPr>
        <w:shd w:fill="ffffff" w:val="clear"/>
        <w:jc w:val="center"/>
        <w:rPr>
          <w:color w:val="333333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jc w:val="center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ПРАВИЛА ОФОРМЛЕНИЯ СТАТЬИ: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Текст статьи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— должен быть вычитан автором, который несет ответственность за научный уровень публикуемого материала, содержать иллюстративный материал (рисунки, таблицы)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i w:val="1"/>
          <w:sz w:val="21"/>
          <w:szCs w:val="21"/>
          <w:highlight w:val="white"/>
          <w:u w:val="singl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Объем статьи: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до 10 страниц для аспирантов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440" w:lineRule="auto"/>
        <w:ind w:left="1260" w:hanging="360"/>
        <w:rPr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от 10 до 20 страниц для кандидатов или докторов наук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Формат файла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— Word (*.doc или *.docx)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Шрифт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— Times New Roman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Размер шрифта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— 14 пт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Междустрочный интервал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— одинарный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Выравнивание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— по ширине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Поля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— все по 20 мм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Таблицы и графики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— в Word, Excel или картинки jpeg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Формулы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— в редакторе Microsoft Equation, по центру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Затекстовые ссылки на использованную литературу в тексте статьи обязательны. Списки затекстовых ссылок группируются в алфавитном порядке или в порядке нумерации. В затекстовой библиографической ссылке повторяют имеющиеся в тексте документа библиографические сведения об объекте ссылки: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21. Герман М.Ю. Модернизм: искусство первой половины XX века. СПб.: Азбука-классика, 2003. 480 с.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34. Никонов В.И., Яковлева В.Я. Алгоритмы успешного маркетинга. М., 2007. С. 256-200.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Для связи с текстом документа порядковый номер библиографической записи в затекстовой отсылке приводят в квадратных скобках в строку с текстом документа.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i w:val="1"/>
          <w:sz w:val="21"/>
          <w:szCs w:val="21"/>
          <w:highlight w:val="white"/>
          <w:u w:val="singl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В тексте: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Общий список справочников по терминологии, охватывающий время не позднее середины XX века дает работа библиографа И.М. Кауфмана [59].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i w:val="1"/>
          <w:sz w:val="21"/>
          <w:szCs w:val="21"/>
          <w:highlight w:val="white"/>
          <w:u w:val="singl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В затекстовой ссылке: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59. Кауфман И.М. Терминологические словари: библиография. М., 1961.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Если ссылку приводят на конкретный фрагмент текста документа, в отсылке указывают порядковый номер и страницы, на которых помещен объект ссылки. Сведения разделяют запятой.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>
          <w:i w:val="1"/>
          <w:sz w:val="21"/>
          <w:szCs w:val="21"/>
          <w:highlight w:val="white"/>
          <w:u w:val="single"/>
        </w:rPr>
      </w:pPr>
      <w:r w:rsidDel="00000000" w:rsidR="00000000" w:rsidRPr="00000000">
        <w:rPr>
          <w:i w:val="1"/>
          <w:sz w:val="21"/>
          <w:szCs w:val="21"/>
          <w:highlight w:val="white"/>
          <w:u w:val="single"/>
          <w:rtl w:val="0"/>
        </w:rPr>
        <w:t xml:space="preserve">В тексте: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[10, с. 81].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В затекстовой ссылке:</w:t>
      </w:r>
    </w:p>
    <w:p w:rsidR="00000000" w:rsidDel="00000000" w:rsidP="00000000" w:rsidRDefault="00000000" w:rsidRPr="00000000" w14:paraId="00000038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10. Бердяев Н.А. Смысл истории. М.: Мысль, 1990. 175 с.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Список литературы на русском языке оформляется в соответствие с </w:t>
      </w:r>
      <w:hyperlink r:id="rId12">
        <w:r w:rsidDel="00000000" w:rsidR="00000000" w:rsidRPr="00000000">
          <w:rPr>
            <w:i w:val="1"/>
            <w:color w:val="0c5390"/>
            <w:sz w:val="21"/>
            <w:szCs w:val="21"/>
            <w:highlight w:val="white"/>
            <w:rtl w:val="0"/>
          </w:rPr>
          <w:t xml:space="preserve">ГОСТ Р 7.0.5-2008</w:t>
        </w:r>
      </w:hyperlink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shd w:fill="ffffff" w:val="clear"/>
        <w:jc w:val="center"/>
        <w:rPr>
          <w:color w:val="333333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jc w:val="center"/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ПОРЯДОК РЕЦЕНЗИРОВАНИЯ СТАТЕЙ: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Все научные статьи, поступившие в редакцию журнала «Перспективы науки и образования» и соответствующие его тематике, подлежат обязательному рецензированию с целью их экспертной оценки.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Ответственный секретарь, а также редакция журнала определяет соответствие статьи профилю журнала, требованиям к оформлению и направляет ее на рецензирование специалисту (доктору или кандидату наук), имеющему наиболее близкую к теме статьи научную специализацию, а также имеющему в течение последних 3 лет публикации по тематике рецензируемой статьи. При отказе в направлении на рецензирование представленной автором статьи редакция журнала «Перспективы науки и образования» направляет автору мотивированный ответ.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Сроки рецензирования в каждом отдельном случае определяются ответственным секретарем журнала с учетом создания условий для максимально оперативной публикации статьи.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В рецензии освещаются следующие вопросы: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соответствует ли содержание статьи заявленной в названии теме;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насколько статья соответствует современным достижениям научно-теоретической мысли;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доступна ли статья читателям, на которых она рассчитана, с точки зрения языка, стиля, расположения материала, наглядности таблиц, диаграмм, рисунков и формул;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целесообразна ли публикация статьи с учетом ранее выпущенной по данному вопросу литературы;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в чем конкретно заключаются положительные стороны, а также недостатки статьи, какие исправления и дополнения должны быть внесены автором;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рекомендуется с учетом исправления отмеченных рецензентом недостатков или не рекомендуется статья к публикации в журнале.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Рецензии заверяются в порядке, установленном в учреждении, где работает рецензент.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Рецензирование проводится конфиденциально. Автору рецензируемой статьи предоставляется возможность ознакомиться с текстом рецензии. Нарушение конфиденциальности возможно только в случае заявления рецензента о недостоверности или фальсификации материалов, изложенных в статье.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Если в рецензии содержатся рекомендации по исправлению и доработке статьи, ответственный секретарь журнала направляет автору текст рецензии с предложением учесть их при подготовке нового варианта статьи или аргументировано (частично или полностью) их опровергнуть. Доработанная (переработанная) автором статья повторно направляются на рецензирование.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Статья, не рекомендованная рецензентом к публикации, к повторному рассмотрению не принимается. Текст отрицательной рецензии направляется автору по электронной почте или факсом.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После принятия рецензентом положительного решения о допуске статьи к публикации ответственный секретарь журнала информирует об этом автора и указывает сроки публикации. Текст рецензии направляется автору по электронной почте или факсом.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Оригиналы рецензий хранятся в редакции журнала «Перспективы науки и образования» в течение пяти лет. Редакция журнала обязуется направлять копии рецензий в Министерство образования и науки Российской Федерации при поступлении в редакцию издания соответствующего запроса.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afterAutospacing="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Статьи принимаются по установленному графику:</w:t>
      </w:r>
    </w:p>
    <w:p w:rsidR="00000000" w:rsidDel="00000000" w:rsidP="00000000" w:rsidRDefault="00000000" w:rsidRPr="00000000" w14:paraId="0000004D">
      <w:pPr>
        <w:numPr>
          <w:ilvl w:val="1"/>
          <w:numId w:val="6"/>
        </w:numPr>
        <w:spacing w:after="0" w:afterAutospacing="0" w:lineRule="auto"/>
        <w:ind w:left="252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в № 1 (январь/февраль) — до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1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февраля текущего года (выпуск —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марта);</w:t>
      </w:r>
    </w:p>
    <w:p w:rsidR="00000000" w:rsidDel="00000000" w:rsidP="00000000" w:rsidRDefault="00000000" w:rsidRPr="00000000" w14:paraId="0000004E">
      <w:pPr>
        <w:numPr>
          <w:ilvl w:val="1"/>
          <w:numId w:val="6"/>
        </w:numPr>
        <w:spacing w:after="0" w:afterAutospacing="0" w:lineRule="auto"/>
        <w:ind w:left="252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в № 2 (март/апрель) — до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апреля текущего года (выпуск —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мая);</w:t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spacing w:after="0" w:afterAutospacing="0" w:lineRule="auto"/>
        <w:ind w:left="252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в № 3 (май/июнь) — до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июня текущего года (выпуск —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июля);</w:t>
      </w:r>
    </w:p>
    <w:p w:rsidR="00000000" w:rsidDel="00000000" w:rsidP="00000000" w:rsidRDefault="00000000" w:rsidRPr="00000000" w14:paraId="00000050">
      <w:pPr>
        <w:numPr>
          <w:ilvl w:val="1"/>
          <w:numId w:val="6"/>
        </w:numPr>
        <w:spacing w:after="0" w:afterAutospacing="0" w:lineRule="auto"/>
        <w:ind w:left="252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в № 4 (июль/август) — до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августа текущего года (выпуск —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сентября);</w:t>
      </w:r>
    </w:p>
    <w:p w:rsidR="00000000" w:rsidDel="00000000" w:rsidP="00000000" w:rsidRDefault="00000000" w:rsidRPr="00000000" w14:paraId="00000051">
      <w:pPr>
        <w:numPr>
          <w:ilvl w:val="1"/>
          <w:numId w:val="6"/>
        </w:numPr>
        <w:spacing w:after="0" w:afterAutospacing="0" w:lineRule="auto"/>
        <w:ind w:left="252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в № 5 (сентябрь/октябрь) — до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октября текущего года (выпуск —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ноября);</w:t>
      </w:r>
    </w:p>
    <w:p w:rsidR="00000000" w:rsidDel="00000000" w:rsidP="00000000" w:rsidRDefault="00000000" w:rsidRPr="00000000" w14:paraId="00000052">
      <w:pPr>
        <w:numPr>
          <w:ilvl w:val="1"/>
          <w:numId w:val="6"/>
        </w:numPr>
        <w:spacing w:after="0" w:afterAutospacing="0" w:lineRule="auto"/>
        <w:ind w:left="252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в № 6 (ноябрь/декабрь) — до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декабря текущего года (выпуск —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1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января).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440" w:lineRule="auto"/>
        <w:ind w:left="1260" w:hanging="360"/>
        <w:rPr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Прием статей может осуществляться в последующие сборники в зависимости от наполняемости от наполняемости портфеля выпуска.</w:t>
      </w:r>
    </w:p>
    <w:p w:rsidR="00000000" w:rsidDel="00000000" w:rsidP="00000000" w:rsidRDefault="00000000" w:rsidRPr="00000000" w14:paraId="00000054">
      <w:pPr>
        <w:shd w:fill="ffffff" w:val="clear"/>
        <w:spacing w:after="160" w:lineRule="auto"/>
        <w:rPr>
          <w:color w:val="0c5390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ШАБЛОН ДЛЯ РЕЦЕНЗЕНТА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: </w:t>
      </w:r>
      <w:hyperlink r:id="rId13">
        <w:r w:rsidDel="00000000" w:rsidR="00000000" w:rsidRPr="00000000">
          <w:rPr>
            <w:color w:val="0c5390"/>
            <w:sz w:val="21"/>
            <w:szCs w:val="21"/>
            <w:highlight w:val="white"/>
            <w:rtl w:val="0"/>
          </w:rPr>
          <w:t xml:space="preserve">СКАЧАТЬ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nojournal.wordpress.com/2019/03/02/%D1%81%D1%82%D1%80%D1%83%D0%BA%D1%82%D1%83%D1%80%D0%B0-%D0%BD%D0%B0%D1%83%D1%87%D0%BD%D0%BE%D0%B9-%D1%81%D1%82%D0%B0%D1%82%D1%8C%D0%B8/" TargetMode="External"/><Relationship Id="rId10" Type="http://schemas.openxmlformats.org/officeDocument/2006/relationships/hyperlink" Target="https://pnojournal.wordpress.com/2019/02/25/%D0%BA%D0%B0%D0%BA-%D0%BD%D0%B0%D0%BF%D0%B8%D1%81%D0%B0%D1%82%D1%8C-%D0%B0%D0%BD%D0%BD%D0%BE%D1%82%D0%B0%D1%86%D0%B8%D1%8E-%D0%BA-%D1%81%D1%82%D0%B0%D1%82%D1%8C%D0%B5/" TargetMode="External"/><Relationship Id="rId13" Type="http://schemas.openxmlformats.org/officeDocument/2006/relationships/hyperlink" Target="https://pnojournal.files.wordpress.com/2017/12/d180d0b5d186d0b5d0bdd0b7d0b8d18f-d0bdd0b0-d0bfd183d0b1d0bbd0b8d0bad0b0d186d0b8d18e-d0bfd0bdd0be.doc" TargetMode="External"/><Relationship Id="rId12" Type="http://schemas.openxmlformats.org/officeDocument/2006/relationships/hyperlink" Target="https://pnojournal.files.wordpress.com/2013/01/gost_2008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orcid.org/xxxx-xxxx-xxxx-xxxx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science-education24.ru/" TargetMode="External"/><Relationship Id="rId8" Type="http://schemas.openxmlformats.org/officeDocument/2006/relationships/hyperlink" Target="http://science-education24.ru/pr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