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</w:rPr>
      </w:pPr>
      <w:bookmarkStart w:colFirst="0" w:colLast="0" w:name="_norji6k47iya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  <w:rtl w:val="0"/>
        </w:rPr>
        <w:t xml:space="preserve">Правила для авторов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Автором (авторами) направляются материалы, оформленные в соответствии с </w:t>
      </w:r>
      <w:hyperlink r:id="rId6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Требованиями</w:t>
        </w:r>
      </w:hyperlink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 к информации и статьям, предоставляемым для публикации.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Редакция принимает только оригинальные, не публиковавшиеся ранее научные материалы. В случае обнаружения плагиата и/или факта опубликования рукописи в других источниках, статья снимается с публикации на любой стадии подготовки.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Правовые вопросы, связанные с публикацией в журнале, включая обязательства сторон (автора и издателя), регулируются на основе </w:t>
      </w:r>
      <w:hyperlink r:id="rId7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Публичной оферты</w:t>
        </w:r>
      </w:hyperlink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 и подписанного автором </w:t>
      </w:r>
      <w:hyperlink r:id="rId8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Акцепта</w:t>
        </w:r>
      </w:hyperlink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. Акцепт передается в распечатанном виде, подписанный автором (соавторами) собственноручно шариковой ручкой с синими чернилами, одновременно с основным пакетом документов.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Через систему электронной редакции на сайте издания или по электронной почте редакция уведомляет автора о том, что рукопись принята / не принята к рассмотрению для публикации.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После регистрации рукописи редакция может сообщить автору замечания по содержанию и оформлению рукописи, которые необходимо устранить до передачи текста на рецензирование. Автор пересылает исправленный текст в редакцию.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В случае, если в письменном обращении автора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редакция вправе принять решение о безосновательности очередного обращения и прекращении переписки с автором по данному вопросу.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Решение о публикации принимается по результатам </w:t>
      </w:r>
      <w:hyperlink r:id="rId9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рецензирования</w:t>
        </w:r>
      </w:hyperlink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, с учетом соответствия представленного материала проблематике журнала, актуальности темы статьи, ее научного вклада и значимости результатов исследования. Решение по вопросу публикации рукописи принимается в течение 6 (шести) месяцев со дня поступления рукописи в редакцию.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Авторские тексты рецензируются в формате «двойного слепого рецензирования», при котором рецензент не обладает информацией об авторе статьи, и автор не получает сведений о рецензенте (</w:t>
      </w:r>
      <w:hyperlink r:id="rId10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подробнее см. на странице Политика, раздел Рецензирование</w:t>
        </w:r>
      </w:hyperlink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После получения положительной рецензии и на основании принятого решения о публикации статья поступает в «портфель» журнала. План публикаций формируется главным редактором из материалов, включенных в «портфель», в порядке очередности, определяемой на основании даты поступления материала, наполнения соответствующего раздела журнала, тематической направленности выпуска.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После опубликования авторский оригинал статьи с правками редактора и корректура хранятся в архиве редакции не менее года с приложенной копией рецензии.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Авторы статей несут ответственность за содержание статей, предоставленные материалы, а также за сам факт их публикации. Редакция не всегда разделяет мнения авторов и не несет ответственности за недостоверность публикуемых данных. Редакция журнала не несет никакой ответственности перед авторами и/или третьими лицами и организациями за возможный ущерб, вызванный публикацией статьи.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Плата за публикацию в Журнале не взимается, авторский гонорар не выплачивается.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Статьи и другие предоставленные материалы не возвращаются.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Иллюстративные и другие материалы, присланные автором вместе со статьей, используются при публикации в нужном количестве на усмотрение редакции.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60" w:before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Статьи, оформленные без учета </w:t>
      </w:r>
      <w:hyperlink r:id="rId11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Требований</w:t>
        </w:r>
      </w:hyperlink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 к информации и статьям, предоставляемым для публикации, к публикации не принимаются.</w:t>
      </w:r>
    </w:p>
    <w:p w:rsidR="00000000" w:rsidDel="00000000" w:rsidP="00000000" w:rsidRDefault="00000000" w:rsidRPr="00000000" w14:paraId="00000011">
      <w:pPr>
        <w:shd w:fill="cccccc" w:val="clear"/>
        <w:spacing w:before="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</w:rPr>
      </w:pPr>
      <w:bookmarkStart w:colFirst="0" w:colLast="0" w:name="_nxfhhonal9y7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  <w:rtl w:val="0"/>
        </w:rPr>
        <w:t xml:space="preserve">Подготовка статей</w:t>
      </w:r>
    </w:p>
    <w:p w:rsidR="00000000" w:rsidDel="00000000" w:rsidP="00000000" w:rsidRDefault="00000000" w:rsidRPr="00000000" w14:paraId="00000013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Для представления статьи авторы должны подтвердить нижеследующие пункты. Рукопись может быть возвращена авторам, если она им не соответствует.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6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Эта статья ранее не была опубликована, а также не представлена для рассмотрения и публикации в другом журнале. Статья подготовлена с учетом </w:t>
      </w:r>
      <w:hyperlink r:id="rId12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«Этики научных публикаций в журнале “Обсерватория культуры”»</w:t>
        </w:r>
      </w:hyperlink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 (опубликована на странице «О журнале»).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Файл с текстом отправляемой статьи оформлен в соответствии с </w:t>
      </w:r>
      <w:hyperlink r:id="rId13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Требованиями</w:t>
        </w:r>
      </w:hyperlink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 и </w:t>
      </w:r>
      <w:hyperlink r:id="rId14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Рекомендациями</w:t>
        </w:r>
      </w:hyperlink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, в нем представлены сведения об авторе/авторах, реферат не менее 250 слов, список источников содержит достаточное количество наименований, оформлен в порядке упоминания источников в статье.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Иллюстративные материалы предоставляются отдельными файлами в форматах TIFF/JPG разрешением не менее 300 dpi, графики и таблицы - в редактируемом формате.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Отдельным файлом предоставляются материалы на английском языке, включающие информацию об авторе/авторах, название статьи, реферат, ключевые слова, сведения об источнике финансирования, а также блок References, оформленные в соответствии с </w:t>
      </w:r>
      <w:hyperlink r:id="rId15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Требованиями</w:t>
        </w:r>
      </w:hyperlink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 и </w:t>
      </w:r>
      <w:hyperlink r:id="rId16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Рекомендациями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260" w:before="0" w:beforeAutospacing="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Авторы гарантируют, что они обладают исключительными правами на передаваемый для публикации материал, который является их оригинальным, нигде ранее не публиковавшимся произведением и согласен(а/ы) с условиями </w:t>
      </w:r>
      <w:hyperlink r:id="rId17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Публичной оферты</w:t>
        </w:r>
      </w:hyperlink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, и акцептуют ее, то есть предоставляют Издателю исключительные права на предложенных условиях.</w:t>
        <w:br w:type="textWrapping"/>
      </w:r>
      <w:hyperlink r:id="rId18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Оригинал акцепта</w:t>
        </w:r>
      </w:hyperlink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, подписанный синей ручкой, в ближайшее время будет отправлен по почте или передан лично в редакцию</w:t>
      </w:r>
    </w:p>
    <w:p w:rsidR="00000000" w:rsidDel="00000000" w:rsidP="00000000" w:rsidRDefault="00000000" w:rsidRPr="00000000" w14:paraId="00000019">
      <w:pPr>
        <w:shd w:fill="cccccc" w:val="clear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</w:rPr>
      </w:pPr>
      <w:bookmarkStart w:colFirst="0" w:colLast="0" w:name="_fezo7lyf5iy2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  <w:rtl w:val="0"/>
        </w:rPr>
        <w:t xml:space="preserve">Авторские права</w:t>
      </w:r>
    </w:p>
    <w:p w:rsidR="00000000" w:rsidDel="00000000" w:rsidP="00000000" w:rsidRDefault="00000000" w:rsidRPr="00000000" w14:paraId="0000001B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Публикация статьи в журнале возможна только при согласии автора (и всех соавторов или иных правообладателей), предоставить право использования на условиях исключительной лицензии, путем акцептования </w:t>
      </w:r>
      <w:hyperlink r:id="rId19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Публичной оферты</w:t>
        </w:r>
      </w:hyperlink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Способы использования статьи:</w:t>
      </w:r>
    </w:p>
    <w:p w:rsidR="00000000" w:rsidDel="00000000" w:rsidP="00000000" w:rsidRDefault="00000000" w:rsidRPr="00000000" w14:paraId="0000001E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• Издание с указанием имени автора в журнале, в том числе в электронном, без ограничения тиража.</w:t>
      </w:r>
    </w:p>
    <w:p w:rsidR="00000000" w:rsidDel="00000000" w:rsidP="00000000" w:rsidRDefault="00000000" w:rsidRPr="00000000" w14:paraId="0000001F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• Перевод на любые языки стран мира или иная переработка, то есть любое изменение статьи, включая, редактирование текста, снабжение иллюстративными и/или текстовыми материалами (в нужном количестве на усмотрение редакции), не приводящими к изменению смысла текста и/или искажению его содержания.</w:t>
      </w:r>
    </w:p>
    <w:p w:rsidR="00000000" w:rsidDel="00000000" w:rsidP="00000000" w:rsidRDefault="00000000" w:rsidRPr="00000000" w14:paraId="00000020">
      <w:pPr>
        <w:shd w:fill="ffffff" w:val="clear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• Воспроизведение, распространение, доведение до всеобщего сведения полностью или частично, предоставление третьим лицам права использования статьи.</w:t>
      </w:r>
    </w:p>
    <w:p w:rsidR="00000000" w:rsidDel="00000000" w:rsidP="00000000" w:rsidRDefault="00000000" w:rsidRPr="00000000" w14:paraId="00000021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Гарантии:</w:t>
      </w:r>
    </w:p>
    <w:p w:rsidR="00000000" w:rsidDel="00000000" w:rsidP="00000000" w:rsidRDefault="00000000" w:rsidRPr="00000000" w14:paraId="00000023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• Статья ранее не опубликована (не отдана одновременно для публикации другому издателю, не выложена в любом виде в сети Интернет и т. п.), заключение лицензионного договора не нарушает прав и законных интересов других лиц.</w:t>
      </w:r>
    </w:p>
    <w:p w:rsidR="00000000" w:rsidDel="00000000" w:rsidP="00000000" w:rsidRDefault="00000000" w:rsidRPr="00000000" w14:paraId="00000024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• Статья не содержит информации, доступ к которой ограничен или запрещен в порядке, предусмотренном действующим законодательством.</w:t>
      </w:r>
    </w:p>
    <w:p w:rsidR="00000000" w:rsidDel="00000000" w:rsidP="00000000" w:rsidRDefault="00000000" w:rsidRPr="00000000" w14:paraId="00000025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• После согласованию окончательного текста и названия статьи никто не имеет права вносить в них изменения без письменного согласования с другой стороной.</w:t>
      </w:r>
    </w:p>
    <w:p w:rsidR="00000000" w:rsidDel="00000000" w:rsidP="00000000" w:rsidRDefault="00000000" w:rsidRPr="00000000" w14:paraId="00000026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Условия:</w:t>
      </w:r>
    </w:p>
    <w:p w:rsidR="00000000" w:rsidDel="00000000" w:rsidP="00000000" w:rsidRDefault="00000000" w:rsidRPr="00000000" w14:paraId="00000028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• Право использования статьи предоставляется безвозмездно на территории всего мира в течение срока действия исключительного права путем акцепта, и не требует заключения дополнительных документов (актов приёма-передачи и пр.).</w:t>
      </w:r>
    </w:p>
    <w:p w:rsidR="00000000" w:rsidDel="00000000" w:rsidP="00000000" w:rsidRDefault="00000000" w:rsidRPr="00000000" w14:paraId="00000029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• Так как право издания статьи, а также распространения и доведения до всеобщего сведения передается исключительно, в случае желание автора (соавтора) повторно опубликовать эту же статью (опубликованную в журнале) в другом месте (в печатном и/или электронном виде), необходимо будет на это получить разрешение (заключить договор).</w:t>
      </w:r>
    </w:p>
    <w:p w:rsidR="00000000" w:rsidDel="00000000" w:rsidP="00000000" w:rsidRDefault="00000000" w:rsidRPr="00000000" w14:paraId="0000002A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Выше представленное изложение оферты предоставлено для удобства и в случае разночтения с текстом Публичной оферты, правильным следует считать текст </w:t>
      </w:r>
      <w:hyperlink r:id="rId20">
        <w:r w:rsidDel="00000000" w:rsidR="00000000" w:rsidRPr="00000000">
          <w:rPr>
            <w:b w:val="1"/>
            <w:color w:val="29abe2"/>
            <w:sz w:val="26"/>
            <w:szCs w:val="26"/>
            <w:highlight w:val="white"/>
            <w:rtl w:val="0"/>
          </w:rPr>
          <w:t xml:space="preserve">Публичной оферты</w:t>
        </w:r>
      </w:hyperlink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hd w:fill="cccccc" w:val="clear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</w:rPr>
      </w:pPr>
      <w:bookmarkStart w:colFirst="0" w:colLast="0" w:name="_vxzlblc28xd6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  <w:rtl w:val="0"/>
        </w:rPr>
        <w:t xml:space="preserve">Приватность</w:t>
      </w:r>
    </w:p>
    <w:p w:rsidR="00000000" w:rsidDel="00000000" w:rsidP="00000000" w:rsidRDefault="00000000" w:rsidRPr="00000000" w14:paraId="0000002E">
      <w:pPr>
        <w:shd w:fill="ffffff" w:val="clear"/>
        <w:spacing w:after="80" w:before="80" w:lineRule="auto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Имена и адреса электронной почты, введенные на сайте этого журнала, будут использованы исключительно для целей, обозначенных этим журналом, и не будут использованы для каких-либо других целей или предоставлены другим лицам и организациям.</w:t>
      </w:r>
    </w:p>
    <w:p w:rsidR="00000000" w:rsidDel="00000000" w:rsidP="00000000" w:rsidRDefault="00000000" w:rsidRPr="00000000" w14:paraId="0000002F">
      <w:pPr>
        <w:shd w:fill="cccccc" w:val="clear"/>
        <w:rPr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b w:val="1"/>
          <w:color w:val="666666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b w:val="1"/>
          <w:color w:val="726450"/>
          <w:sz w:val="53"/>
          <w:szCs w:val="53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observatoria.rsl.ru/jour/pages/view/oferta" TargetMode="External"/><Relationship Id="rId11" Type="http://schemas.openxmlformats.org/officeDocument/2006/relationships/hyperlink" Target="https://observatoria.rsl.ru/jour/pages/view/submissions" TargetMode="External"/><Relationship Id="rId10" Type="http://schemas.openxmlformats.org/officeDocument/2006/relationships/hyperlink" Target="https://observatoria.rsl.ru/jour/about/editorialPolicies#custom-0" TargetMode="External"/><Relationship Id="rId13" Type="http://schemas.openxmlformats.org/officeDocument/2006/relationships/hyperlink" Target="https://observatoria.rsl.ru/jour/pages/view/submissions" TargetMode="External"/><Relationship Id="rId12" Type="http://schemas.openxmlformats.org/officeDocument/2006/relationships/hyperlink" Target="https://observatoria.rsl.ru/jour/about/editorialPolicies#custom-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bservatoria.rsl.ru/jour/about/editorialPolicies#custom-0" TargetMode="External"/><Relationship Id="rId15" Type="http://schemas.openxmlformats.org/officeDocument/2006/relationships/hyperlink" Target="https://observatoria.rsl.ru/jour/pages/view/submissions" TargetMode="External"/><Relationship Id="rId14" Type="http://schemas.openxmlformats.org/officeDocument/2006/relationships/hyperlink" Target="https://observatoria.rsl.ru/jour/pages/view/example" TargetMode="External"/><Relationship Id="rId17" Type="http://schemas.openxmlformats.org/officeDocument/2006/relationships/hyperlink" Target="https://observatoria.rsl.ru/jour/pages/view/oferta" TargetMode="External"/><Relationship Id="rId16" Type="http://schemas.openxmlformats.org/officeDocument/2006/relationships/hyperlink" Target="https://observatoria.rsl.ru/jour/pages/view/format_e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observatoria.rsl.ru/jour/pages/view/oferta" TargetMode="External"/><Relationship Id="rId6" Type="http://schemas.openxmlformats.org/officeDocument/2006/relationships/hyperlink" Target="https://observatoria.rsl.ru/jour/pages/view/submissions" TargetMode="External"/><Relationship Id="rId18" Type="http://schemas.openxmlformats.org/officeDocument/2006/relationships/hyperlink" Target="https://observatoria.rsl.ru/jour/pages/view/accept" TargetMode="External"/><Relationship Id="rId7" Type="http://schemas.openxmlformats.org/officeDocument/2006/relationships/hyperlink" Target="https://observatoria.rsl.ru/jour/pages/view/oferta" TargetMode="External"/><Relationship Id="rId8" Type="http://schemas.openxmlformats.org/officeDocument/2006/relationships/hyperlink" Target="https://observatoria.rsl.ru/jour/pages/view/acce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