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220" w:line="336" w:lineRule="auto"/>
        <w:ind w:left="480" w:right="480" w:firstLine="0"/>
        <w:jc w:val="center"/>
        <w:rPr>
          <w:rFonts w:ascii="Roboto" w:cs="Roboto" w:eastAsia="Roboto" w:hAnsi="Roboto"/>
          <w:b w:val="1"/>
          <w:i w:val="1"/>
          <w:color w:val="444c4e"/>
          <w:sz w:val="21"/>
          <w:szCs w:val="21"/>
        </w:rPr>
      </w:pPr>
      <w:bookmarkStart w:colFirst="0" w:colLast="0" w:name="_ats4c6i9c19w" w:id="0"/>
      <w:bookmarkEnd w:id="0"/>
      <w:r w:rsidDel="00000000" w:rsidR="00000000" w:rsidRPr="00000000">
        <w:rPr>
          <w:rFonts w:ascii="Roboto" w:cs="Roboto" w:eastAsia="Roboto" w:hAnsi="Roboto"/>
          <w:b w:val="1"/>
          <w:i w:val="1"/>
          <w:color w:val="444c4e"/>
          <w:sz w:val="21"/>
          <w:szCs w:val="21"/>
          <w:rtl w:val="0"/>
        </w:rPr>
        <w:t xml:space="preserve">Общие требования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К публикации в журнале принимаются научные статьи по широкой тематике исследований и разработок в области агропромышленного комплекса. Материал статьи должен быть изложен последовательно и структурировано, содержать конкретные сведения. Объем статьи – 7 — 10 страниц формата А4, включая таблицы, иллюстрации, список литературы и его транслитерацию, реферат в русском и английском варианте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Текст представляется в файле, совместимом с Microsoft Word 2007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(формат «.docx»)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Поля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– верхнее, нижнее по 36 мм, левое, правое по 30 мм.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Шрифт основного текста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— Times New Roman Размер шрифта осн — Times New Roman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Размер шрифта основного текста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— 10 пт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Межстрочный интервал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– одинарный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Отступ первой строки абзаца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— 0,6 см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Выравнивание текста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— по ширине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Автоматическая расстановка переносов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– выключена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Нумерация страниц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— не ведется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Формулы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– встроенный редактор формул MS Office 2007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Рисунки и таблицы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— по тексту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Ссылки на литературу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— в соответствии с ГОСТ Р 7.05-2008 в порядке упоминания в тексте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Оформление списка литературы 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– по ГОСТ 7.05-2008, одинарный интервал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В </w:t>
      </w: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распечатанном виде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 предоставляется один экземпляр статьи, подписанный всеми авторами.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444c4e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Адрес для почтовых отправлений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: 392022, г. Тамбов, пер. Ново-Рубежный, д. 28, ФГБНУ ВНИИТиН.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67416d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В </w:t>
      </w:r>
      <w:r w:rsidDel="00000000" w:rsidR="00000000" w:rsidRPr="00000000">
        <w:rPr>
          <w:rFonts w:ascii="Roboto" w:cs="Roboto" w:eastAsia="Roboto" w:hAnsi="Roboto"/>
          <w:b w:val="1"/>
          <w:color w:val="444c4e"/>
          <w:sz w:val="20"/>
          <w:szCs w:val="20"/>
          <w:rtl w:val="0"/>
        </w:rPr>
        <w:t xml:space="preserve">электронном виде </w:t>
      </w:r>
      <w:r w:rsidDel="00000000" w:rsidR="00000000" w:rsidRPr="00000000">
        <w:rPr>
          <w:rFonts w:ascii="Roboto" w:cs="Roboto" w:eastAsia="Roboto" w:hAnsi="Roboto"/>
          <w:color w:val="444c4e"/>
          <w:sz w:val="20"/>
          <w:szCs w:val="20"/>
          <w:rtl w:val="0"/>
        </w:rPr>
        <w:t xml:space="preserve">предоставляется WORD-файл со статьей по адресу: </w:t>
      </w:r>
      <w:r w:rsidDel="00000000" w:rsidR="00000000" w:rsidRPr="00000000">
        <w:rPr>
          <w:rFonts w:ascii="Roboto" w:cs="Roboto" w:eastAsia="Roboto" w:hAnsi="Roboto"/>
          <w:color w:val="67416d"/>
          <w:sz w:val="20"/>
          <w:szCs w:val="20"/>
          <w:rtl w:val="0"/>
        </w:rPr>
        <w:t xml:space="preserve">publ@vniitin.ru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67416d"/>
          <w:sz w:val="20"/>
          <w:szCs w:val="20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67416d"/>
            <w:sz w:val="20"/>
            <w:szCs w:val="20"/>
            <w:rtl w:val="0"/>
          </w:rPr>
          <w:t xml:space="preserve">Полный текст правил оформления рукописей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480" w:right="480" w:firstLine="0"/>
        <w:rPr>
          <w:rFonts w:ascii="Roboto" w:cs="Roboto" w:eastAsia="Roboto" w:hAnsi="Roboto"/>
          <w:color w:val="67416d"/>
          <w:sz w:val="20"/>
          <w:szCs w:val="20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67416d"/>
            <w:sz w:val="20"/>
            <w:szCs w:val="20"/>
            <w:rtl w:val="0"/>
          </w:rPr>
          <w:t xml:space="preserve">Правила направления, рецензирования и опубликования статей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0" w:right="480" w:firstLine="0"/>
        <w:rPr>
          <w:rFonts w:ascii="Roboto" w:cs="Roboto" w:eastAsia="Roboto" w:hAnsi="Roboto"/>
          <w:color w:val="67416d"/>
          <w:sz w:val="20"/>
          <w:szCs w:val="20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67416d"/>
            <w:sz w:val="20"/>
            <w:szCs w:val="20"/>
            <w:rtl w:val="0"/>
          </w:rPr>
          <w:t xml:space="preserve">Положение с подписями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niitin.ru/wp-content/uploads/2019/06/%D0%9F%D0%BE%D0%BB%D0%BD%D1%8B%D0%B9-%D1%82%D0%B5%D0%BA%D1%81%D1%82-%D0%BF%D1%80%D0%B0%D0%B2%D0%B8%D0%BB-%D0%BE%D1%84%D0%BE%D1%80%D0%BC%D0%BB%D0%B5%D0%BD%D0%B8%D1%8F-%D1%80%D1%83%D0%BA%D0%BE%D0%BF%D0%B8%D1%81%D0%B5%D0%B9-pdf.pdf" TargetMode="External"/><Relationship Id="rId7" Type="http://schemas.openxmlformats.org/officeDocument/2006/relationships/hyperlink" Target="http://vniitin.ru/wp-content/uploads/2019/06/%D0%9F%D1%80%D0%B0%D0%B2%D0%B8%D0%BB%D0%B0-%D0%BD%D0%B0%D0%BF%D1%80%D0%B0%D0%B2%D0%BB%D0%B5%D0%BD%D0%B8%D1%8F-%D1%80%D0%B5%D1%86%D0%B5%D0%BD%D0%B7%D0%B8%D1%80%D0%BE%D0%B2%D0%B0%D0%BD%D0%B8%D1%8F-%D0%B8-%D0%BE%D0%BF%D1%83%D0%B1%D0%BB%D0%B8%D0%BA%D0%BE%D0%B2%D0%B0%D0%BD%D0%B8%D1%8F-%D1%81%D1%82%D0%B0%D1%82%D0%B5%D0%B91.pdf" TargetMode="External"/><Relationship Id="rId8" Type="http://schemas.openxmlformats.org/officeDocument/2006/relationships/hyperlink" Target="http://vniitin.ru/wp-content/uploads/2019/06/%D0%9F%D0%BE%D0%BB%D0%BE%D0%B6%D0%B5%D0%BD%D0%B8%D0%B5-%D1%81-%D0%BF%D0%BE%D0%B4%D0%BF%D0%B8%D1%81%D1%8F%D0%BC%D0%B8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