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3"/>
        <w:keepNext w:val="0"/>
        <w:keepLines w:val="0"/>
        <w:shd w:fill="ffffff" w:val="clear"/>
        <w:spacing w:before="280" w:lineRule="auto"/>
        <w:rPr>
          <w:rFonts w:ascii="Times New Roman" w:cs="Times New Roman" w:eastAsia="Times New Roman" w:hAnsi="Times New Roman"/>
          <w:color w:val="666666"/>
          <w:sz w:val="30"/>
          <w:szCs w:val="30"/>
        </w:rPr>
      </w:pPr>
      <w:bookmarkStart w:colFirst="0" w:colLast="0" w:name="_iz2wvm1dul26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666666"/>
          <w:sz w:val="30"/>
          <w:szCs w:val="30"/>
          <w:rtl w:val="0"/>
        </w:rPr>
        <w:t xml:space="preserve">Правила для авторов</w:t>
      </w:r>
    </w:p>
    <w:p w:rsidR="00000000" w:rsidDel="00000000" w:rsidP="00000000" w:rsidRDefault="00000000" w:rsidRPr="00000000" w14:paraId="00000002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Автор направляет в редакцию журнала статью, оформленную по образцу (формат Word), через форму «Отправить статью» на сайте журнала.</w:t>
      </w:r>
    </w:p>
    <w:p w:rsidR="00000000" w:rsidDel="00000000" w:rsidP="00000000" w:rsidRDefault="00000000" w:rsidRPr="00000000" w14:paraId="00000003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При направлении рукописи автор присоединяется к публичной оферте журнала (заполнение договора не требуется).</w:t>
      </w:r>
    </w:p>
    <w:p w:rsidR="00000000" w:rsidDel="00000000" w:rsidP="00000000" w:rsidRDefault="00000000" w:rsidRPr="00000000" w14:paraId="00000004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Отправляя статью, автор выражает согласие на размещение статьи в открытом доступе в сети Интернет и в наукометрических базах, подтверждает, что ознакомлен с типом журнала (open access) и стоимостью размещения в открытом доступе: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оригинальная научная статья — до 17 стр. (4000 слов, 0,75 печатного листа), 19 000 руб.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оригинальная научная статья (max) — до 23 стр. (6000 слов, 1,0 печатный лист), 26 000 руб.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обзорная статья — до 23 стр. (6000 слов, 1,0 печатный лист), 26 000 руб.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400" w:before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статья превышает установленные ограничения, но автор настаивает на сохранении объема на условиях постраничной оплаты превышения</w:t>
      </w:r>
    </w:p>
    <w:p w:rsidR="00000000" w:rsidDel="00000000" w:rsidP="00000000" w:rsidRDefault="00000000" w:rsidRPr="00000000" w14:paraId="00000009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Размещение отдельных статей в закрытом доступе не предусмотрено, поскольку редакцией заключены соответствующие договоры на предоставление открытого доступа с научными базами данных и библиотеками.</w:t>
      </w:r>
    </w:p>
    <w:p w:rsidR="00000000" w:rsidDel="00000000" w:rsidP="00000000" w:rsidRDefault="00000000" w:rsidRPr="00000000" w14:paraId="0000000A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Журнал не требует оплаты за подачу статьи, рецензирование всех поступающих материалов проводится бесплатно. Взимается плата (article processing charge – APC) за обработку статьи и ее размещение на различных платформах в целях поддержки издания журнала в открытом доступе. Оплата производится только в случае, если по итогам рецензирования статья будет принята к публикации. Такая политика позволяет сделать весь журнальный контент свободно доступным на либеральных условиях дальнейшего использования. Хотя авторам приходится самостоятельно оплачивать обработку статей, они могут получить финансовую поддержку от различных учреждений и спонсоров (фондов), которые покрывают такого рода расходы.</w:t>
      </w:r>
    </w:p>
    <w:p w:rsidR="00000000" w:rsidDel="00000000" w:rsidP="00000000" w:rsidRDefault="00000000" w:rsidRPr="00000000" w14:paraId="0000000B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Для возмещения затрат через организацию (место работы автора), в том числе из средств гранта и др., предоставляются все необходимые документы (договор, акт, счет).</w:t>
      </w:r>
    </w:p>
    <w:p w:rsidR="00000000" w:rsidDel="00000000" w:rsidP="00000000" w:rsidRDefault="00000000" w:rsidRPr="00000000" w14:paraId="0000000C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Поступившая в редакцию статья проверяется на наличие некорректных заимствований. При обнаружении плагиата или самоплагиата статья исключается из номера на любом этапе подготовки выпуска.</w:t>
      </w:r>
    </w:p>
    <w:p w:rsidR="00000000" w:rsidDel="00000000" w:rsidP="00000000" w:rsidRDefault="00000000" w:rsidRPr="00000000" w14:paraId="0000000D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Причиной непринятия статьи к рассмотрению может быть значительное количество ошибок (орфографических, пунктуационных, речевых).</w:t>
      </w:r>
    </w:p>
    <w:p w:rsidR="00000000" w:rsidDel="00000000" w:rsidP="00000000" w:rsidRDefault="00000000" w:rsidRPr="00000000" w14:paraId="0000000E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Рецензирование статей проводится в срок не более </w:t>
      </w:r>
      <w:r w:rsidDel="00000000" w:rsidR="00000000" w:rsidRPr="00000000">
        <w:rPr>
          <w:b w:val="1"/>
          <w:color w:val="666666"/>
          <w:sz w:val="26"/>
          <w:szCs w:val="26"/>
          <w:rtl w:val="0"/>
        </w:rPr>
        <w:t xml:space="preserve">60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 дней. Рецензент не знает автора. Автору не сообщается имя рецензента. (Двойное слепое рецензирование).</w:t>
      </w:r>
    </w:p>
    <w:p w:rsidR="00000000" w:rsidDel="00000000" w:rsidP="00000000" w:rsidRDefault="00000000" w:rsidRPr="00000000" w14:paraId="0000000F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При положительном заключении рецензентов после доработки статья публикуется в срок не позднее </w:t>
      </w:r>
      <w:r w:rsidDel="00000000" w:rsidR="00000000" w:rsidRPr="00000000">
        <w:rPr>
          <w:b w:val="1"/>
          <w:color w:val="666666"/>
          <w:sz w:val="26"/>
          <w:szCs w:val="26"/>
          <w:rtl w:val="0"/>
        </w:rPr>
        <w:t xml:space="preserve">четырех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 месяцев с момента получения положительной рецензии на статью.</w:t>
      </w:r>
    </w:p>
    <w:p w:rsidR="00000000" w:rsidDel="00000000" w:rsidP="00000000" w:rsidRDefault="00000000" w:rsidRPr="00000000" w14:paraId="00000010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hd w:fill="ffffff" w:val="clear"/>
        <w:spacing w:after="80" w:before="0" w:lineRule="auto"/>
        <w:rPr>
          <w:b w:val="1"/>
          <w:color w:val="666666"/>
          <w:sz w:val="26"/>
          <w:szCs w:val="26"/>
        </w:rPr>
      </w:pPr>
      <w:r w:rsidDel="00000000" w:rsidR="00000000" w:rsidRPr="00000000">
        <w:rPr>
          <w:b w:val="1"/>
          <w:color w:val="666666"/>
          <w:sz w:val="26"/>
          <w:szCs w:val="26"/>
          <w:rtl w:val="0"/>
        </w:rPr>
        <w:t xml:space="preserve">Требования к оформлению</w:t>
      </w:r>
    </w:p>
    <w:p w:rsidR="00000000" w:rsidDel="00000000" w:rsidP="00000000" w:rsidRDefault="00000000" w:rsidRPr="00000000" w14:paraId="00000012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Шрифт Times New Roman (при использовании дополнительных шрифтов они должны быть представлены в редакцию в электронном виде). Кегль — 14 pt. Межстрочный интервал — полуторный. Поля: левое — 3 см, остальные — 2 см. Абзацный отступ — 1,25 см.</w:t>
      </w:r>
    </w:p>
    <w:p w:rsidR="00000000" w:rsidDel="00000000" w:rsidP="00000000" w:rsidRDefault="00000000" w:rsidRPr="00000000" w14:paraId="00000013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В начале статьи слева без отступа указывается УДК.</w:t>
      </w:r>
    </w:p>
    <w:p w:rsidR="00000000" w:rsidDel="00000000" w:rsidP="00000000" w:rsidRDefault="00000000" w:rsidRPr="00000000" w14:paraId="00000014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Ниже (через строку) с выравниванием по левому краю без отступа полужирным шрифтом приводится название статьи.</w:t>
      </w:r>
    </w:p>
    <w:p w:rsidR="00000000" w:rsidDel="00000000" w:rsidP="00000000" w:rsidRDefault="00000000" w:rsidRPr="00000000" w14:paraId="00000015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Далее — сведения об авторе / авторах (кегль — 11 pt) по образцу:</w:t>
      </w:r>
    </w:p>
    <w:p w:rsidR="00000000" w:rsidDel="00000000" w:rsidP="00000000" w:rsidRDefault="00000000" w:rsidRPr="00000000" w14:paraId="00000016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© </w:t>
      </w:r>
      <w:r w:rsidDel="00000000" w:rsidR="00000000" w:rsidRPr="00000000">
        <w:rPr>
          <w:b w:val="1"/>
          <w:color w:val="666666"/>
          <w:sz w:val="26"/>
          <w:szCs w:val="26"/>
          <w:rtl w:val="0"/>
        </w:rPr>
        <w:t xml:space="preserve">Ивакин Юрий Юрьевич (2020),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 orcid.org/0000-0001-3815-8615, доктор филологических наук, доцент кафедры русского языка, Рязанский государственный университет (Рязань, Россия), ivakin@mail.ru.</w:t>
      </w:r>
    </w:p>
    <w:p w:rsidR="00000000" w:rsidDel="00000000" w:rsidP="00000000" w:rsidRDefault="00000000" w:rsidRPr="00000000" w14:paraId="00000017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Аннотация – шрифт 12 pt (140-160 слов), выравнивание «по ширине», абзацный отступ 1,25 (с использованием клише: </w:t>
      </w: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Рассматривается вопрос… Уделяется внимание… Представлены результаты сопоставительного анализа… Поднимается вопрос о… Особое внимание уделяется… Новизна исследования видится в том, что… Актуальность исследования обусловлена… Приводятся определения… Автор останавливается на… Доказано, что… Предлагается классификация… Выполнен обзор… Представлена авторская разработка… Описан опыт многолетней работы автора …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 и под.).</w:t>
      </w:r>
    </w:p>
    <w:p w:rsidR="00000000" w:rsidDel="00000000" w:rsidP="00000000" w:rsidRDefault="00000000" w:rsidRPr="00000000" w14:paraId="00000018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Ключевые слова – шрифт 12 pt (4–9 слов или словосочетаний, разделенных точкой с запятой).</w:t>
      </w:r>
    </w:p>
    <w:p w:rsidR="00000000" w:rsidDel="00000000" w:rsidP="00000000" w:rsidRDefault="00000000" w:rsidRPr="00000000" w14:paraId="00000019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b w:val="1"/>
          <w:color w:val="666666"/>
          <w:sz w:val="26"/>
          <w:szCs w:val="26"/>
          <w:rtl w:val="0"/>
        </w:rPr>
        <w:t xml:space="preserve">Структурирование статьи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 подразумевает деление текста на смысловые части. Каждый подраздел должен иметь краткий тематический заголовок сообразно изложенной в нем основной идее.</w:t>
      </w:r>
    </w:p>
    <w:p w:rsidR="00000000" w:rsidDel="00000000" w:rsidP="00000000" w:rsidRDefault="00000000" w:rsidRPr="00000000" w14:paraId="0000001A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b w:val="1"/>
          <w:color w:val="666666"/>
          <w:sz w:val="26"/>
          <w:szCs w:val="26"/>
          <w:rtl w:val="0"/>
        </w:rPr>
        <w:t xml:space="preserve">Внутритекстовые ссылки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 приводятся в квадратных скобках, где указывается фамилия автора, год издания статьи или книги и, если приводится цитата, то страница или диапазон страниц, например [Поланин, 2004, с. 47] или [Поланин, 2004, с. 47–48]. Если указывается источник (словарь, архив и др.), то в ссылке указывается сокращенное наименование источника, номер тома (если есть) и страница (если есть), например: [СРНГ, т. 8, с. 75] или [ФСРГС, с. 7] (при этом сокращения должны быть указаны в списке источников). Если даются ссылки на несколько работ, то фамилии авторов приводятся в алфавитном порядке через точку с запятой: [Егоров, 1983, с. 213–218; Капитонова, 1991, с. 83]; в случае, если это работы одного автора, они перечисляются в хронологическом порядке: [Истрин, 1984; Истрин, 1997]. При наличии авторов-однофамильцев после фамилии приводятся инициалы. Если встречаются ссылки на две или несколько работ одного автора, опубликованные в одном и том же году, они приводятся с буквенным маркером около цифры, обозначающей год: [Иванов, 2001а; Иванов, 2001б]. Если авторов двое или трое, то упоминается только фамилия первого автора, а вместо фамилий остальных пишется «и др.» – в случае русскоязычного источника,  «et al.» – в случае с источником на английском языке. Если авторов больше трех, а также если приводится ссылка на сборник, то дается первое слово названия либо два первых слова, если они логически связаны (с многоточием), далее год и страницы (если необходимо), например: [Микрофлора …, 1994], [Методика расчета …, 2007, с. 17].</w:t>
      </w:r>
    </w:p>
    <w:p w:rsidR="00000000" w:rsidDel="00000000" w:rsidP="00000000" w:rsidRDefault="00000000" w:rsidRPr="00000000" w14:paraId="0000001B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Цитаты обязательно снабжаются указанием на номер страницы.</w:t>
      </w:r>
    </w:p>
    <w:p w:rsidR="00000000" w:rsidDel="00000000" w:rsidP="00000000" w:rsidRDefault="00000000" w:rsidRPr="00000000" w14:paraId="0000001C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Вставляя рисунок (в том числе схему, диаграмму или иное изображение), следует сделать отсылку к нему в тексте в обычных круглых скобках: (рис. 1). Затем вставить рисунок и подписать его снизу, выровняв подпись по центру строки без абзацного отступа (Рис. 1. Интернет-мем: примеры). Размер шрифта – 13 pt.</w:t>
      </w:r>
    </w:p>
    <w:p w:rsidR="00000000" w:rsidDel="00000000" w:rsidP="00000000" w:rsidRDefault="00000000" w:rsidRPr="00000000" w14:paraId="0000001D">
      <w:pPr>
        <w:shd w:fill="ffffff" w:val="clear"/>
        <w:spacing w:after="80" w:before="0" w:lineRule="auto"/>
        <w:jc w:val="center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ПРИМЕР:</w:t>
      </w:r>
    </w:p>
    <w:p w:rsidR="00000000" w:rsidDel="00000000" w:rsidP="00000000" w:rsidRDefault="00000000" w:rsidRPr="00000000" w14:paraId="0000001E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[Текст статьи] …Итак, работа по созданию команды педагогов должна быть нацелена на формирование у них качеств, которые позволяют им совместно решать профессиональные задачи (рис. 1).</w:t>
      </w:r>
    </w:p>
    <w:p w:rsidR="00000000" w:rsidDel="00000000" w:rsidP="00000000" w:rsidRDefault="00000000" w:rsidRPr="00000000" w14:paraId="0000001F">
      <w:pPr>
        <w:shd w:fill="ffffff" w:val="clear"/>
        <w:spacing w:after="80" w:before="0" w:lineRule="auto"/>
        <w:jc w:val="center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</w:rPr>
        <w:drawing>
          <wp:inline distB="114300" distT="114300" distL="114300" distR="114300">
            <wp:extent cx="1704975" cy="14668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466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80" w:before="0" w:lineRule="auto"/>
        <w:jc w:val="center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Рис. 1. Классификация журналистских жанров</w:t>
      </w:r>
    </w:p>
    <w:p w:rsidR="00000000" w:rsidDel="00000000" w:rsidP="00000000" w:rsidRDefault="00000000" w:rsidRPr="00000000" w14:paraId="00000021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Вставляя </w:t>
      </w:r>
      <w:r w:rsidDel="00000000" w:rsidR="00000000" w:rsidRPr="00000000">
        <w:rPr>
          <w:b w:val="1"/>
          <w:color w:val="666666"/>
          <w:sz w:val="26"/>
          <w:szCs w:val="26"/>
          <w:rtl w:val="0"/>
        </w:rPr>
        <w:t xml:space="preserve">таблицу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, следует сделать к ней отсылку в тексте в круглых скобках: (табл. 1). Затем над таблицей расположить слова «Таблица 1» с выравниванием надписи по правому краю строки без абзацного отступа (шрифт 13 pt) и ниже в следующей строке указать развернутое название таблицы с выравниванием по центру строки без абзацного отступа (шрифт 13 pt). Далее размещается таблица, которую можно выполнить шрифтом 12 pt (либо крупнее).</w:t>
      </w:r>
    </w:p>
    <w:p w:rsidR="00000000" w:rsidDel="00000000" w:rsidP="00000000" w:rsidRDefault="00000000" w:rsidRPr="00000000" w14:paraId="00000023">
      <w:pPr>
        <w:shd w:fill="ffffff" w:val="clear"/>
        <w:spacing w:after="80" w:before="0" w:lineRule="auto"/>
        <w:jc w:val="right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Таблица 1</w:t>
      </w:r>
    </w:p>
    <w:p w:rsidR="00000000" w:rsidDel="00000000" w:rsidP="00000000" w:rsidRDefault="00000000" w:rsidRPr="00000000" w14:paraId="00000024">
      <w:pPr>
        <w:shd w:fill="ffffff" w:val="clear"/>
        <w:spacing w:after="80" w:before="0" w:lineRule="auto"/>
        <w:jc w:val="center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Статистика словоупотреблений слова </w:t>
      </w: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земля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 в тексте сказки</w:t>
      </w:r>
    </w:p>
    <w:tbl>
      <w:tblPr>
        <w:tblStyle w:val="Table1"/>
        <w:tblW w:w="94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40"/>
        <w:gridCol w:w="3155"/>
        <w:gridCol w:w="3155"/>
        <w:tblGridChange w:id="0">
          <w:tblGrid>
            <w:gridCol w:w="3140"/>
            <w:gridCol w:w="3155"/>
            <w:gridCol w:w="3155"/>
          </w:tblGrid>
        </w:tblGridChange>
      </w:tblGrid>
      <w:tr>
        <w:trPr>
          <w:trHeight w:val="665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80" w:before="0" w:lineRule="auto"/>
              <w:rPr>
                <w:color w:val="666666"/>
                <w:sz w:val="26"/>
                <w:szCs w:val="26"/>
              </w:rPr>
            </w:pPr>
            <w:r w:rsidDel="00000000" w:rsidR="00000000" w:rsidRPr="00000000">
              <w:rPr>
                <w:color w:val="666666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80" w:before="0" w:lineRule="auto"/>
              <w:rPr>
                <w:color w:val="666666"/>
                <w:sz w:val="26"/>
                <w:szCs w:val="26"/>
              </w:rPr>
            </w:pPr>
            <w:r w:rsidDel="00000000" w:rsidR="00000000" w:rsidRPr="00000000">
              <w:rPr>
                <w:color w:val="666666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80" w:before="0" w:lineRule="auto"/>
              <w:rPr>
                <w:color w:val="666666"/>
                <w:sz w:val="26"/>
                <w:szCs w:val="26"/>
              </w:rPr>
            </w:pPr>
            <w:r w:rsidDel="00000000" w:rsidR="00000000" w:rsidRPr="00000000">
              <w:rPr>
                <w:color w:val="666666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trHeight w:val="665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80" w:before="0" w:lineRule="auto"/>
              <w:rPr>
                <w:color w:val="666666"/>
                <w:sz w:val="26"/>
                <w:szCs w:val="26"/>
              </w:rPr>
            </w:pPr>
            <w:r w:rsidDel="00000000" w:rsidR="00000000" w:rsidRPr="00000000">
              <w:rPr>
                <w:color w:val="666666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80" w:before="0" w:lineRule="auto"/>
              <w:rPr>
                <w:color w:val="666666"/>
                <w:sz w:val="26"/>
                <w:szCs w:val="26"/>
              </w:rPr>
            </w:pPr>
            <w:r w:rsidDel="00000000" w:rsidR="00000000" w:rsidRPr="00000000">
              <w:rPr>
                <w:color w:val="666666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80" w:before="0" w:lineRule="auto"/>
              <w:rPr>
                <w:color w:val="666666"/>
                <w:sz w:val="26"/>
                <w:szCs w:val="26"/>
              </w:rPr>
            </w:pPr>
            <w:r w:rsidDel="00000000" w:rsidR="00000000" w:rsidRPr="00000000">
              <w:rPr>
                <w:color w:val="666666"/>
                <w:sz w:val="26"/>
                <w:szCs w:val="2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B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Список литературы приводится после текста статьи, составляется по алфавиту, нумеруется, предваряется словом «Литература», выполняется шрифтом 12 pt. Сначала в алфавитном порядке приводится перечень работ на русском языке (кириллица), затем, также по алфавиту, работ на иностранных языках (латиница), если цитируются иноязычные публикации. Если статья написана с использованием лексикографических источников (словарей), архивных материалов, картотек, то они подаются отдельным списком перед списком литературы под заголовком «Источники и принятые сокращения».</w:t>
      </w:r>
    </w:p>
    <w:p w:rsidR="00000000" w:rsidDel="00000000" w:rsidP="00000000" w:rsidRDefault="00000000" w:rsidRPr="00000000" w14:paraId="0000002D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Оформление библиографического списка</w:t>
      </w:r>
    </w:p>
    <w:p w:rsidR="00000000" w:rsidDel="00000000" w:rsidP="00000000" w:rsidRDefault="00000000" w:rsidRPr="00000000" w14:paraId="0000002F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Библиографические описания выполняются по ГОСТ Р 7.0.9-2009 «Система стандартов по информации, библиотечному и издательскому делу. Библиографическое обеспечение издательских и книготорговых процессов. Общие требования».</w:t>
      </w:r>
    </w:p>
    <w:p w:rsidR="00000000" w:rsidDel="00000000" w:rsidP="00000000" w:rsidRDefault="00000000" w:rsidRPr="00000000" w14:paraId="00000030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Фамилия и инициалы автора книги или, при его отсутствии, первое слово названия книги выделяется курсивом.</w:t>
      </w:r>
    </w:p>
    <w:p w:rsidR="00000000" w:rsidDel="00000000" w:rsidP="00000000" w:rsidRDefault="00000000" w:rsidRPr="00000000" w14:paraId="00000031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При наличии у книги двух или трех авторов первым элементом библиографической записи указывают только имя первого автора. Имена всех авторов приводят за косой линией. Если авторов четыре и более, описание книги начинают с заголовка, а за косой линией приводят имена авторов.</w:t>
      </w:r>
    </w:p>
    <w:p w:rsidR="00000000" w:rsidDel="00000000" w:rsidP="00000000" w:rsidRDefault="00000000" w:rsidRPr="00000000" w14:paraId="00000032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Необходимо указывать издательство, в котором выпущена книга, монография и т. д. (Если это статья в журнале или диссертация, автореферат, то издательство не указывается).</w:t>
      </w:r>
    </w:p>
    <w:p w:rsidR="00000000" w:rsidDel="00000000" w:rsidP="00000000" w:rsidRDefault="00000000" w:rsidRPr="00000000" w14:paraId="00000033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Нельзя допускать сокращения при указании места издания: «Москва», «Санкт-Петербург», «Ростов-на-Дону» и проч.</w:t>
      </w:r>
    </w:p>
    <w:p w:rsidR="00000000" w:rsidDel="00000000" w:rsidP="00000000" w:rsidRDefault="00000000" w:rsidRPr="00000000" w14:paraId="00000034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Обязательно указывается общее количество страниц в книге (Например: «273 с.») либо диапазон страниц, на которых размещена, например, статья в журнале (например: «С. 23—31»).</w:t>
      </w:r>
    </w:p>
    <w:p w:rsidR="00000000" w:rsidDel="00000000" w:rsidP="00000000" w:rsidRDefault="00000000" w:rsidRPr="00000000" w14:paraId="00000035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Примеры:</w:t>
      </w:r>
    </w:p>
    <w:p w:rsidR="00000000" w:rsidDel="00000000" w:rsidP="00000000" w:rsidRDefault="00000000" w:rsidRPr="00000000" w14:paraId="00000036">
      <w:pPr>
        <w:shd w:fill="ffffff" w:val="clear"/>
        <w:spacing w:after="80" w:before="0" w:lineRule="auto"/>
        <w:jc w:val="center"/>
        <w:rPr>
          <w:b w:val="1"/>
          <w:color w:val="666666"/>
          <w:sz w:val="26"/>
          <w:szCs w:val="26"/>
        </w:rPr>
      </w:pPr>
      <w:r w:rsidDel="00000000" w:rsidR="00000000" w:rsidRPr="00000000">
        <w:rPr>
          <w:b w:val="1"/>
          <w:color w:val="666666"/>
          <w:sz w:val="26"/>
          <w:szCs w:val="26"/>
          <w:rtl w:val="0"/>
        </w:rPr>
        <w:t xml:space="preserve">Источники и принятые сокращения</w:t>
      </w:r>
    </w:p>
    <w:p w:rsidR="00000000" w:rsidDel="00000000" w:rsidP="00000000" w:rsidRDefault="00000000" w:rsidRPr="00000000" w14:paraId="00000037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1. </w:t>
      </w: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Женщина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 — председатель колхоза // За Родину : газета. — 1946. — № 10. — С. 1.</w:t>
      </w:r>
    </w:p>
    <w:p w:rsidR="00000000" w:rsidDel="00000000" w:rsidP="00000000" w:rsidRDefault="00000000" w:rsidRPr="00000000" w14:paraId="00000038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2. КСРНГ — </w:t>
      </w: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Картотека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 Словаря русских народных говоров (хранится в Институте лингвистических исследований Российской академии наук, Санкт-Петербург).</w:t>
      </w:r>
    </w:p>
    <w:p w:rsidR="00000000" w:rsidDel="00000000" w:rsidP="00000000" w:rsidRDefault="00000000" w:rsidRPr="00000000" w14:paraId="00000039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3. </w:t>
      </w: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Николаев А.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 Председатель во хмелю / А. Николаев // Сталинский призыв : газета. — 1953. — № 126 (990). — С. 4.</w:t>
      </w:r>
    </w:p>
    <w:p w:rsidR="00000000" w:rsidDel="00000000" w:rsidP="00000000" w:rsidRDefault="00000000" w:rsidRPr="00000000" w14:paraId="0000003A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4. ПОС — </w:t>
      </w: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Псковский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 областной словарь с историческими данными. — Ленинград : Изд-во Ленинградского ун-та, 1967—2008. — Вып. 1—20.</w:t>
      </w:r>
    </w:p>
    <w:p w:rsidR="00000000" w:rsidDel="00000000" w:rsidP="00000000" w:rsidRDefault="00000000" w:rsidRPr="00000000" w14:paraId="0000003B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5. СПГ — </w:t>
      </w: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Словарь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 пермских говоров / под ред. А. Н. Борисовой, К. Н. Прокошевой. — Пермь : Книжный мир, 2000—2002. — Вып. 1—2.</w:t>
      </w:r>
    </w:p>
    <w:p w:rsidR="00000000" w:rsidDel="00000000" w:rsidP="00000000" w:rsidRDefault="00000000" w:rsidRPr="00000000" w14:paraId="0000003C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6. ГАСО — </w:t>
      </w: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Государственный 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архив Свердловской области. Ф. Р1813 (Областное статистическое управление). Ф. Р1813. Оп. 1. Д. 227. Л. 84. Д. 518. Л. 20.</w:t>
      </w:r>
    </w:p>
    <w:p w:rsidR="00000000" w:rsidDel="00000000" w:rsidP="00000000" w:rsidRDefault="00000000" w:rsidRPr="00000000" w14:paraId="0000003D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7. ЦДООСО </w:t>
      </w: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— Центр 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документации общественных организаций Свердловской области. Ф.4. (Обком КПСС). Оп.53. Д.187. Лл. 2, 6.</w:t>
      </w:r>
    </w:p>
    <w:p w:rsidR="00000000" w:rsidDel="00000000" w:rsidP="00000000" w:rsidRDefault="00000000" w:rsidRPr="00000000" w14:paraId="0000003E">
      <w:pPr>
        <w:shd w:fill="ffffff" w:val="clear"/>
        <w:spacing w:after="80" w:before="0" w:lineRule="auto"/>
        <w:jc w:val="center"/>
        <w:rPr>
          <w:b w:val="1"/>
          <w:color w:val="666666"/>
          <w:sz w:val="26"/>
          <w:szCs w:val="26"/>
        </w:rPr>
      </w:pPr>
      <w:r w:rsidDel="00000000" w:rsidR="00000000" w:rsidRPr="00000000">
        <w:rPr>
          <w:b w:val="1"/>
          <w:color w:val="666666"/>
          <w:sz w:val="26"/>
          <w:szCs w:val="26"/>
          <w:rtl w:val="0"/>
        </w:rPr>
        <w:t xml:space="preserve">Литература</w:t>
      </w:r>
    </w:p>
    <w:p w:rsidR="00000000" w:rsidDel="00000000" w:rsidP="00000000" w:rsidRDefault="00000000" w:rsidRPr="00000000" w14:paraId="0000003F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Список литературы должен свидетельствовать о том, что автор знаком с научной литературой по теме статьи, поэтому рекомендуется включать в библиографический список не менее чем 15 позиций, в том числе желательно, если позволяет область исследования, представлять библиографические описания зарубежных публикаций по данной теме.</w:t>
      </w:r>
    </w:p>
    <w:p w:rsidR="00000000" w:rsidDel="00000000" w:rsidP="00000000" w:rsidRDefault="00000000" w:rsidRPr="00000000" w14:paraId="00000040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…</w:t>
      </w:r>
    </w:p>
    <w:p w:rsidR="00000000" w:rsidDel="00000000" w:rsidP="00000000" w:rsidRDefault="00000000" w:rsidRPr="00000000" w14:paraId="00000041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2. </w:t>
      </w: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Выготский Л. С.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 Психология искусства / Л. С. Выготский. — Москва : Искусство, 1986. — 329 с.</w:t>
      </w:r>
    </w:p>
    <w:p w:rsidR="00000000" w:rsidDel="00000000" w:rsidP="00000000" w:rsidRDefault="00000000" w:rsidRPr="00000000" w14:paraId="00000042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3. </w:t>
      </w: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Вьюговская Е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. Схемы выдвижения в стандартизированном интервью / Е. Вьюговская, А. Ипатова, Д. Рогозин // Телескоп : журнал социологических и маркетинговых исследований. — 2012. — № 4. — C. 40— 45.</w:t>
      </w:r>
    </w:p>
    <w:p w:rsidR="00000000" w:rsidDel="00000000" w:rsidP="00000000" w:rsidRDefault="00000000" w:rsidRPr="00000000" w14:paraId="00000043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4. </w:t>
      </w: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Карасик В. И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. Религиозный дискурс / В. И. Карасик // Языковая личность : проблемы лингвокультурологии и функциональной семантики : сборник научных трудов. — Волгоград : Перемена, 1999. — С. 5—19.</w:t>
      </w:r>
    </w:p>
    <w:p w:rsidR="00000000" w:rsidDel="00000000" w:rsidP="00000000" w:rsidRDefault="00000000" w:rsidRPr="00000000" w14:paraId="00000044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5. </w:t>
      </w: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Караулов Ю. Н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. Русский язык и языковая личность / Ю. Н. Караулов. — Москва : Наука, 1987. — 261 с.</w:t>
      </w:r>
    </w:p>
    <w:p w:rsidR="00000000" w:rsidDel="00000000" w:rsidP="00000000" w:rsidRDefault="00000000" w:rsidRPr="00000000" w14:paraId="00000045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6. </w:t>
      </w: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Матвеева А. С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. Служебное деловое письмо : теория, история, трансформация в условиях информатизации общества : автореферат диссертации … кандидата педагогических наук : 05.25.02 / А. С. Матвеева. — Краснодар, 2012. — 22 с.</w:t>
      </w:r>
    </w:p>
    <w:p w:rsidR="00000000" w:rsidDel="00000000" w:rsidP="00000000" w:rsidRDefault="00000000" w:rsidRPr="00000000" w14:paraId="00000046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7. </w:t>
      </w: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Мунье Э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. Персонализм : краткое введение к вопросу [Электронный ресурс] / Э. Мунье. — Режим доступа : http://anthropology.rchgi.spb.ru/munie/munie_s1.html.</w:t>
      </w:r>
    </w:p>
    <w:p w:rsidR="00000000" w:rsidDel="00000000" w:rsidP="00000000" w:rsidRDefault="00000000" w:rsidRPr="00000000" w14:paraId="00000047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8. </w:t>
      </w: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Некоторые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 перспективы исследования смысловых образований личности / А. Г. Асмолов, Б. С. Братусь, Б. В. Зейгарник, В. А. Петровский, Е. В. Субботский, А. У. Хараш, Л. С. Цветкова // Вопросы психологии. — 1979. — № 4. — С. 118—127.</w:t>
      </w:r>
    </w:p>
    <w:p w:rsidR="00000000" w:rsidDel="00000000" w:rsidP="00000000" w:rsidRDefault="00000000" w:rsidRPr="00000000" w14:paraId="00000048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9. </w:t>
      </w: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Собкин В. С.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 Психологический анализ уровней литературного развития старшеклассников : диссертация …. кандидата психологических наук / В. С. Собкин. — Москва, 1982. — 169 с.</w:t>
      </w:r>
    </w:p>
    <w:p w:rsidR="00000000" w:rsidDel="00000000" w:rsidP="00000000" w:rsidRDefault="00000000" w:rsidRPr="00000000" w14:paraId="00000049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10. </w:t>
      </w: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Скорик А. П. 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Новые гендерные роли и повседневность женщин в колхозной деревне 1930-х гг. (на материалах Дона, Кубани, Ставрополья) / А. П. Скорик, М. А. Гадицкая // Российская повседневность в зеркале гендерных отношений : сборник статей. — Москва : Новое литературное обозрение, 2013. — С. 538—582.</w:t>
      </w:r>
    </w:p>
    <w:p w:rsidR="00000000" w:rsidDel="00000000" w:rsidP="00000000" w:rsidRDefault="00000000" w:rsidRPr="00000000" w14:paraId="0000004A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…</w:t>
      </w:r>
    </w:p>
    <w:p w:rsidR="00000000" w:rsidDel="00000000" w:rsidP="00000000" w:rsidRDefault="00000000" w:rsidRPr="00000000" w14:paraId="0000004B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12. </w:t>
      </w: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Garibaldi L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. Mussolini e il Professore : Vita e diari di Carlo Alberto Biggini / L. Garibaldi (ed.). — Milano : Mursia, 1983. — 362 p.</w:t>
      </w:r>
    </w:p>
    <w:p w:rsidR="00000000" w:rsidDel="00000000" w:rsidP="00000000" w:rsidRDefault="00000000" w:rsidRPr="00000000" w14:paraId="0000004C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13. </w:t>
      </w: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Giglio C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. Dodecaneso / C. Giglio // Oriente moderno. — 1929. — № 8. — Р. 347.</w:t>
      </w:r>
    </w:p>
    <w:p w:rsidR="00000000" w:rsidDel="00000000" w:rsidP="00000000" w:rsidRDefault="00000000" w:rsidRPr="00000000" w14:paraId="0000004D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14. </w:t>
      </w: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Rosselli A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. Come l’Italia conquista il Dodecanneso [Electronic resource] / A. Rosselli. — Access mode : http:// www.anpi.it/militari/rodi.html.</w:t>
      </w:r>
    </w:p>
    <w:p w:rsidR="00000000" w:rsidDel="00000000" w:rsidP="00000000" w:rsidRDefault="00000000" w:rsidRPr="00000000" w14:paraId="0000004E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Англоязычные сведения о статье и ее авторах готовятся редакцией после принятия статьи к публикации (авторские переводы не принимаются) и размещаются в конце статьи.</w:t>
      </w:r>
    </w:p>
    <w:p w:rsidR="00000000" w:rsidDel="00000000" w:rsidP="00000000" w:rsidRDefault="00000000" w:rsidRPr="00000000" w14:paraId="0000004F">
      <w:pPr>
        <w:shd w:fill="ffffff" w:val="clear"/>
        <w:spacing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Справку можно получить по тел. (343)3458984, 89120458984.</w:t>
      </w:r>
    </w:p>
    <w:p w:rsidR="00000000" w:rsidDel="00000000" w:rsidP="00000000" w:rsidRDefault="00000000" w:rsidRPr="00000000" w14:paraId="00000050">
      <w:pPr>
        <w:shd w:fill="cccccc" w:val="clear"/>
        <w:spacing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51">
      <w:pPr>
        <w:pStyle w:val="Heading3"/>
        <w:keepNext w:val="0"/>
        <w:keepLines w:val="0"/>
        <w:shd w:fill="ffffff" w:val="clear"/>
        <w:spacing w:before="280" w:lineRule="auto"/>
        <w:rPr>
          <w:rFonts w:ascii="Times New Roman" w:cs="Times New Roman" w:eastAsia="Times New Roman" w:hAnsi="Times New Roman"/>
          <w:color w:val="666666"/>
          <w:sz w:val="30"/>
          <w:szCs w:val="30"/>
        </w:rPr>
      </w:pPr>
      <w:bookmarkStart w:colFirst="0" w:colLast="0" w:name="_tcjdkn77vonq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666666"/>
          <w:sz w:val="30"/>
          <w:szCs w:val="30"/>
          <w:rtl w:val="0"/>
        </w:rPr>
        <w:t xml:space="preserve">Подготовка статей</w:t>
      </w:r>
    </w:p>
    <w:p w:rsidR="00000000" w:rsidDel="00000000" w:rsidP="00000000" w:rsidRDefault="00000000" w:rsidRPr="00000000" w14:paraId="00000052">
      <w:pPr>
        <w:shd w:fill="ffffff" w:val="clear"/>
        <w:spacing w:after="80" w:before="8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Для представления статьи авторы должны подтвердить нижеследующие пункты. Рукопись может быть возвращена авторам, если она им не соответствует.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afterAutospacing="0" w:before="26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Статья оформлена по требованиям и по образцу:</w:t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hyperlink r:id="rId7">
        <w:r w:rsidDel="00000000" w:rsidR="00000000" w:rsidRPr="00000000">
          <w:rPr>
            <w:color w:val="006837"/>
            <w:sz w:val="26"/>
            <w:szCs w:val="26"/>
            <w:rtl w:val="0"/>
          </w:rPr>
          <w:t xml:space="preserve">скачать Правила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hyperlink r:id="rId8">
        <w:r w:rsidDel="00000000" w:rsidR="00000000" w:rsidRPr="00000000">
          <w:rPr>
            <w:color w:val="006837"/>
            <w:sz w:val="26"/>
            <w:szCs w:val="26"/>
            <w:rtl w:val="0"/>
          </w:rPr>
          <w:t xml:space="preserve">скачать Образец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Статья ранее не была опубликована, а также не представлена для рассмотрения и публикации в другом журнале (или дано объяснение этого в Комментариях для редактора).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Файл отправляемой статьи представлен в формате документа Microsoft Word или RTF.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Текст набран с полуторным межстрочным интервалом; используется кегль шрифта в 14 пунктов; для выделения используется курсив, а не подчеркивание (за исключением интернет-адресов); все иллюстрации, графики и таблицы расположены в соответствующих местах в тексте, а не в конце документа.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Текст соответствует стилистическим и библиографическим требованиям, описанным в Руководстве для авторов, расположенном на странице «О журнале».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Автор ознакомлен с типом журнала (open access – открытый доступ) и стоимостью размещения в открытом доступе.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Статья не содержит плагиата и самоплагиата, то есть не является частью моих ранее опубликованных работ (статей, диссертаций, монографий).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Рецензирование проводится в срок 10—60 дней.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Статьи в авторской редакции не публикуются, выполняется редактирование статьи по необходимости.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26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Полнотекстовых материалы могут быть размещены в открытом доступе в сети Интернет и в наукометрических базах (Web of Science Core Collection — ESCI, ERIH PLUS, РИНЦ и др.).</w:t>
      </w:r>
    </w:p>
    <w:p w:rsidR="00000000" w:rsidDel="00000000" w:rsidP="00000000" w:rsidRDefault="00000000" w:rsidRPr="00000000" w14:paraId="0000005F">
      <w:pPr>
        <w:shd w:fill="cccccc" w:val="clear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60">
      <w:pPr>
        <w:pStyle w:val="Heading3"/>
        <w:keepNext w:val="0"/>
        <w:keepLines w:val="0"/>
        <w:shd w:fill="ffffff" w:val="clear"/>
        <w:spacing w:before="280" w:lineRule="auto"/>
        <w:rPr>
          <w:rFonts w:ascii="Times New Roman" w:cs="Times New Roman" w:eastAsia="Times New Roman" w:hAnsi="Times New Roman"/>
          <w:color w:val="666666"/>
          <w:sz w:val="30"/>
          <w:szCs w:val="30"/>
        </w:rPr>
      </w:pPr>
      <w:bookmarkStart w:colFirst="0" w:colLast="0" w:name="_c1fc5dd9f0l2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666666"/>
          <w:sz w:val="30"/>
          <w:szCs w:val="30"/>
          <w:rtl w:val="0"/>
        </w:rPr>
        <w:t xml:space="preserve">Авторские права</w:t>
      </w:r>
    </w:p>
    <w:p w:rsidR="00000000" w:rsidDel="00000000" w:rsidP="00000000" w:rsidRDefault="00000000" w:rsidRPr="00000000" w14:paraId="00000061">
      <w:pPr>
        <w:shd w:fill="ffffff" w:val="clear"/>
        <w:spacing w:after="80" w:before="8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Авторы, публикующие в данном журнале, соглашаются со следующим: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spacing w:after="0" w:afterAutospacing="0" w:before="26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Авторы сохраняют за собой авторские права на работу и предоставляют журналу право первой публикации работы на условиях лицензии </w:t>
      </w:r>
      <w:hyperlink r:id="rId9">
        <w:r w:rsidDel="00000000" w:rsidR="00000000" w:rsidRPr="00000000">
          <w:rPr>
            <w:color w:val="006837"/>
            <w:sz w:val="26"/>
            <w:szCs w:val="26"/>
            <w:rtl w:val="0"/>
          </w:rPr>
          <w:t xml:space="preserve">Creative Commons Attribution License</w:t>
        </w:r>
      </w:hyperlink>
      <w:r w:rsidDel="00000000" w:rsidR="00000000" w:rsidRPr="00000000">
        <w:rPr>
          <w:color w:val="666666"/>
          <w:sz w:val="26"/>
          <w:szCs w:val="26"/>
          <w:rtl w:val="0"/>
        </w:rPr>
        <w:t xml:space="preserve">, которая позволяет другим распространять данную работу с обязательным сохранением ссылок на авторов оригинальной работы и оригинальную публикацию в этом журнале.</w:t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Авторы сохраняют право заключать отдельные контрактные договорённости, касающиеся не-эксклюзивного распространения версии работы в опубликованном здесь виде (например, размещение ее в институтском хранилище, публикацию в книге), со ссылкой на ее оригинальную публикацию в этом журнале.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spacing w:after="26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Авторы имеют право размещать их работу в сети Интернет (например, в институтском хранилище или персональном сайте) до и во время процесса рассмотрения ее данным журналом, так как это может привести к продуктивному обсуждению и большему количеству ссылок на данную работу (См. </w:t>
      </w:r>
      <w:hyperlink r:id="rId10">
        <w:r w:rsidDel="00000000" w:rsidR="00000000" w:rsidRPr="00000000">
          <w:rPr>
            <w:color w:val="006837"/>
            <w:sz w:val="26"/>
            <w:szCs w:val="26"/>
            <w:rtl w:val="0"/>
          </w:rPr>
          <w:t xml:space="preserve">The Effect of Open Access</w:t>
        </w:r>
      </w:hyperlink>
      <w:r w:rsidDel="00000000" w:rsidR="00000000" w:rsidRPr="00000000">
        <w:rPr>
          <w:color w:val="666666"/>
          <w:sz w:val="26"/>
          <w:szCs w:val="26"/>
          <w:rtl w:val="0"/>
        </w:rPr>
        <w:t xml:space="preserve">).</w:t>
      </w:r>
    </w:p>
    <w:p w:rsidR="00000000" w:rsidDel="00000000" w:rsidP="00000000" w:rsidRDefault="00000000" w:rsidRPr="00000000" w14:paraId="00000065">
      <w:pPr>
        <w:shd w:fill="cccccc" w:val="clear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66">
      <w:pPr>
        <w:pStyle w:val="Heading3"/>
        <w:keepNext w:val="0"/>
        <w:keepLines w:val="0"/>
        <w:shd w:fill="ffffff" w:val="clear"/>
        <w:spacing w:before="280" w:lineRule="auto"/>
        <w:rPr>
          <w:rFonts w:ascii="Times New Roman" w:cs="Times New Roman" w:eastAsia="Times New Roman" w:hAnsi="Times New Roman"/>
          <w:color w:val="666666"/>
          <w:sz w:val="30"/>
          <w:szCs w:val="30"/>
        </w:rPr>
      </w:pPr>
      <w:bookmarkStart w:colFirst="0" w:colLast="0" w:name="_fmksbda38ca5" w:id="3"/>
      <w:bookmarkEnd w:id="3"/>
      <w:r w:rsidDel="00000000" w:rsidR="00000000" w:rsidRPr="00000000">
        <w:rPr>
          <w:rFonts w:ascii="Times New Roman" w:cs="Times New Roman" w:eastAsia="Times New Roman" w:hAnsi="Times New Roman"/>
          <w:color w:val="666666"/>
          <w:sz w:val="30"/>
          <w:szCs w:val="30"/>
          <w:rtl w:val="0"/>
        </w:rPr>
        <w:t xml:space="preserve">Приватность</w:t>
      </w:r>
    </w:p>
    <w:p w:rsidR="00000000" w:rsidDel="00000000" w:rsidP="00000000" w:rsidRDefault="00000000" w:rsidRPr="00000000" w14:paraId="00000067">
      <w:pPr>
        <w:shd w:fill="ffffff" w:val="clear"/>
        <w:spacing w:after="80" w:before="8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Имена и адреса электронной почты, введенные на сайте этого журнала, будут использованы исключительно для целей, обозначенных этим журналом, и не будут использованы для каких-либо других целей или предоставлены другим лицам и организациям.</w:t>
      </w:r>
    </w:p>
    <w:p w:rsidR="00000000" w:rsidDel="00000000" w:rsidP="00000000" w:rsidRDefault="00000000" w:rsidRPr="00000000" w14:paraId="00000068">
      <w:pPr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666666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666666"/>
        <w:sz w:val="26"/>
        <w:szCs w:val="26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666666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666666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opcit.eprints.org/oacitation-biblio.html" TargetMode="External"/><Relationship Id="rId9" Type="http://schemas.openxmlformats.org/officeDocument/2006/relationships/hyperlink" Target="http://creativecommons.org/licenses/by/3.0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nauka-dialog.ru/jour/manager/files/1/%D0%94%D0%BB%D1%8F%D0%B0%D0%B2%D1%82%D0%BE%D1%80%D0%BE%D0%B2Nauchnyidialog_%D0%9D%D0%94.pdf" TargetMode="External"/><Relationship Id="rId8" Type="http://schemas.openxmlformats.org/officeDocument/2006/relationships/hyperlink" Target="https://www.nauka-dialog.ru/jour/manager/files/1/2%D0%9E%D0%B1%D1%80%D0%B0%D0%B7%D0%B5%D1%86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