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160" w:before="0" w:line="300" w:lineRule="auto"/>
        <w:jc w:val="both"/>
        <w:rPr>
          <w:rFonts w:ascii="Trebuchet MS" w:cs="Trebuchet MS" w:eastAsia="Trebuchet MS" w:hAnsi="Trebuchet MS"/>
          <w:color w:val="333333"/>
          <w:sz w:val="54"/>
          <w:szCs w:val="54"/>
        </w:rPr>
      </w:pPr>
      <w:bookmarkStart w:colFirst="0" w:colLast="0" w:name="_6o8l0jejfjys" w:id="0"/>
      <w:bookmarkEnd w:id="0"/>
      <w:r w:rsidDel="00000000" w:rsidR="00000000" w:rsidRPr="00000000">
        <w:rPr>
          <w:rFonts w:ascii="Trebuchet MS" w:cs="Trebuchet MS" w:eastAsia="Trebuchet MS" w:hAnsi="Trebuchet MS"/>
          <w:color w:val="333333"/>
          <w:sz w:val="54"/>
          <w:szCs w:val="54"/>
          <w:rtl w:val="0"/>
        </w:rPr>
        <w:t xml:space="preserve">Требования к содержанию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В журнале публикуются статьи, соответствующие профилю журнала и его рубрикам. Статья должна быть оригинальной, нигде ранее не опубликованной, не нарушающей авторских прав третьих лиц.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Рекомендуемый объем в пределах 20-40 тыс. знаков (с учетом пробелов).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hd w:fill="ffffff" w:val="clear"/>
        <w:spacing w:after="160" w:before="0" w:line="300" w:lineRule="auto"/>
        <w:jc w:val="both"/>
        <w:rPr>
          <w:rFonts w:ascii="Trebuchet MS" w:cs="Trebuchet MS" w:eastAsia="Trebuchet MS" w:hAnsi="Trebuchet MS"/>
          <w:color w:val="333333"/>
          <w:sz w:val="54"/>
          <w:szCs w:val="54"/>
        </w:rPr>
      </w:pPr>
      <w:bookmarkStart w:colFirst="0" w:colLast="0" w:name="_x1xjgne1wpok" w:id="1"/>
      <w:bookmarkEnd w:id="1"/>
      <w:r w:rsidDel="00000000" w:rsidR="00000000" w:rsidRPr="00000000">
        <w:rPr>
          <w:rFonts w:ascii="Trebuchet MS" w:cs="Trebuchet MS" w:eastAsia="Trebuchet MS" w:hAnsi="Trebuchet MS"/>
          <w:color w:val="333333"/>
          <w:sz w:val="54"/>
          <w:szCs w:val="54"/>
          <w:rtl w:val="0"/>
        </w:rPr>
        <w:t xml:space="preserve">Требования к оформлению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Текст статьи набирается в текстовом редакторе Microsoft Word, записывается с расширением .doc, .docx или .rtf. Название файла должно состоять из фамилии автора и названия статьи.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Статья должна содержать: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УДК (см., например, здесь: http://naukapro.ru/metod.htm);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блок 1 - на русском языке: Ф.И.О. автора (-ов); название статьи; аннотация (100-250 слов); ключевые слова (5-7 слов или словосочетаний, разделенных точкой с запятой);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блок 2 - на английском языке: информация блока 1 в той же последовательности;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блок 3 - полный текст статьи на русском языке (шрифт основного текста - Times New Roman; размер шрифта основного текста - 12 пт; поля: верхнее и нижнее - 2 см, правое и левое - 3 см; межстрочный интервал - полуторный; отступ первой строки абзаца - 1,25 см; выравнивание текста - по ширине; ссылки на формулы даются в круглых скобках; формулы набираются в редакторе формул; рисунки - средствами Word; растровые иллюстрации предоставляются отдельными файлами в формате .jpg с разрешением не менее 300 dpi);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блок 4 - список литературы на русском языке (название «Литература»); пристатейные библиографические списки оформляются в соответствии с ГОСТ Р 7.0.5-2008. Отсылки к списку в основном тексте даются в квадратных скобках, например: [3, с. 25];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блок 5 - список литературы на латинице (название «References»).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337ab7"/>
            <w:sz w:val="21"/>
            <w:szCs w:val="21"/>
            <w:rtl w:val="0"/>
          </w:rPr>
          <w:t xml:space="preserve">См. правила оформления</w:t>
        </w:r>
      </w:hyperlink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блок 6 - данные об авторах на русском языке: фамилия, имя, отчество полностью; должность; ученая степень; ученое звание; адресные данные автора (-ов) (организация(-и), адрес организации (-й), электронная почта всех или одного автора);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блок 7 - информация блока 6 в той же последовательности на английском языке.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Для выделения в тексте допустимо </w:t>
      </w: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полужирное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курсивное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написание. Примеры рекомендуется выделять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курсивом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, новые термины и понятия - </w:t>
      </w: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полужирным шрифтом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Не рекомендуется использовать такие выделения, как ПРОПИСНЫЕ БУКВЫ, р а з р я д к а через пробел и 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u w:val="single"/>
          <w:rtl w:val="0"/>
        </w:rPr>
        <w:t xml:space="preserve">подчеркивание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; подстрочные ссылки.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Вместе с текстом статьи в редакцию должны быть переданы следующие материалы: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Фотография автора (в деловой обстановке) в форматах .tif, .jpg с разрешением не менее 300 dpi.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Иллюстративные материалы в форматах .tif, .jpg с разрешением не менее 300 dpi (если имеются).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В случае, если статья передается через электронную почту, данные для заключения договора на публикацию статьи в форматах .doc и .docx (фамилия, имя, отчество; дата рождения; паспортные данные (серия, номер, кем и когда выдан, код подразделения); адрес регистрации с почтовым индексом; адрес проживания с почтовым индексом (если отличается от адреса регистрации); ИНН; номер страхового свидетельства пенсионного страхования; адрес электронной почты (e-mail) для переписки; контактный телефон (мобильный); название статьи.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Отзыв о статье (для аспирантов и студентов).</w:t>
      </w:r>
    </w:p>
    <w:p w:rsidR="00000000" w:rsidDel="00000000" w:rsidP="00000000" w:rsidRDefault="00000000" w:rsidRPr="00000000" w14:paraId="00000016">
      <w:pPr>
        <w:pStyle w:val="Heading1"/>
        <w:keepNext w:val="0"/>
        <w:keepLines w:val="0"/>
        <w:shd w:fill="ffffff" w:val="clear"/>
        <w:spacing w:after="160" w:before="0" w:line="300" w:lineRule="auto"/>
        <w:rPr>
          <w:rFonts w:ascii="Trebuchet MS" w:cs="Trebuchet MS" w:eastAsia="Trebuchet MS" w:hAnsi="Trebuchet MS"/>
          <w:color w:val="333333"/>
          <w:sz w:val="54"/>
          <w:szCs w:val="54"/>
        </w:rPr>
      </w:pPr>
      <w:bookmarkStart w:colFirst="0" w:colLast="0" w:name="_s43ax1jzyvor" w:id="2"/>
      <w:bookmarkEnd w:id="2"/>
      <w:r w:rsidDel="00000000" w:rsidR="00000000" w:rsidRPr="00000000">
        <w:rPr>
          <w:rFonts w:ascii="Trebuchet MS" w:cs="Trebuchet MS" w:eastAsia="Trebuchet MS" w:hAnsi="Trebuchet MS"/>
          <w:color w:val="333333"/>
          <w:sz w:val="54"/>
          <w:szCs w:val="54"/>
          <w:rtl w:val="0"/>
        </w:rPr>
        <w:t xml:space="preserve">Образец оформления списка литературы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(ГОСТ Р 7.0.5-2008)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Книга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333333"/>
          <w:sz w:val="24"/>
          <w:szCs w:val="24"/>
          <w:rtl w:val="0"/>
        </w:rPr>
        <w:t xml:space="preserve">Один автор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Адамар Ж.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Задача Коши для линейных уравнений с частными производными гиперболического типа. М.: Наука, 1978. 352 с.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Крохина, Ю. А.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Финансовое право России: учебник для вузов. М.: Норма, 2004. 298 с.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333333"/>
          <w:sz w:val="24"/>
          <w:szCs w:val="24"/>
          <w:rtl w:val="0"/>
        </w:rPr>
        <w:t xml:space="preserve">Два-три автора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Агафонова Н.Н.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, Богачева Т.В., Глушкова Л.И. Гражданское право: учеб. пособие для вузов. 2 е изд., перераб. и доп. М.: Юристъ, 2002. 542 с.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2. С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амуэльсон П.Э.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Экономика. 16-е изд. М.: Вильямс, 2001.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Дмитриев А.П., Мариев Е.Н.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Численные методы анализа: учебное пособие для втузов. 3-е изд., перераб. и доп. М.: Наука, 1999.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333333"/>
          <w:sz w:val="24"/>
          <w:szCs w:val="24"/>
          <w:rtl w:val="0"/>
        </w:rPr>
        <w:t xml:space="preserve">Больше трех авторов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1. Пути улучшения качества изготовления одежды / П.П. Кокеткин [и др.]. М.: Легпромбытиздат, 1998. 240 с.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2. История России: учеб. пособие для студентов всех специальностей / В.Н. Быков [и др.]. 2-е изд., перераб. и доп. СПб.: СПбЛТА, 2001. 231 с.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3. Теория солитонов. Метод обратной задачи / В.Е. Захаров, С.В. Манаков, С.П. Новиков, Л.П. Питаевский; под ред. С.П. Новикова. М.: Наука, 1980. 320 с.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Многотомное издание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Шабат Б.В.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Введение в комплексный анализ. В 2 т. Т. 1: Функции одного переменного: учебник для ун-тов / Б.В. Шабат. 3-е изд., перераб. и доп. М.: Наука, 1985. 336 с.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Глава из книги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Макаров И.М., 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Глазырина И.Б., ГлазыринБ.Э. Робототехника и научно-технический прогресс // Робот. Компьютер. Гибкое производство. М., 2007. Гл. 2. С. 27-36.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Статьи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Скроцкий Г.В.,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Тропинин В.Н. К термодинамике спиновых систем // Статистическая физика и квантовая теория поля: сб. статей. М.: Наука, 1973. Вып. 28. С. 120-200.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Иванов А.А.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Теорема Ферма и ее применение в различных областях математики // Изв. АН СССР. Техн. кибернетика. 1984. Т. 36. № 3. С. 295-304.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Корявко В.И.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Эволюция форм применения объединений ВМФ // Воен. мысль. 2006. № 4. С. 64-67.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Головачев А.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Книги в формате «флипбук» исчезнут из книжных магазинов: голландская технология печати карманных книг оказалась слишком дорогой для издателей // Известия. 2015. 5 сент. С. 3.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Законодательные и нормативные акты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1. О противодействии терроризму: федер. закон Рос. Федерации от 6 марта 2006 г. № 35-ФЗ: принят Гос. Думой Федер. Собр. Рос. Федерации 26 февр. 2006 г.: одобр. Советом Федерации Федер. Собр. Рос. Федерации 1 марта 2006 г. // Рос. газ. 2006. 10 марта.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2. Гражданский кодекс Российской Федерации. Часть четвертая от 18 дек. 2006 г. № 230-ФЗ: принят Гос. Думой Федер. Собр. Рос. Федерации 24 нояб. 2006 г.: одобр. Советом Федерации Федер. Собр. Рос. Федерации 8 дек. 2006 г.: ввод. Федер. законом Рос. Федерации от 18 дек. 2006 г. № 231-ФЗ // Парламент. газ. 2006. 21 дек.; Рос. газ. 2006. 22 дек.; Собр. законодательства Рос. Федерации. 2006. № 52, ч. 1, ст. 5496. С. 4803-14949.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3. О введении надбавок за сложность, напряженность и высокое качество работы: указание М-ва соц. защиты Рос. Федерации от 14 июля 1992 г. № 1-49-У. Документ опубликован не был. Доступ из справ.-правовой системы «КонсультантПлюс».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4. 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Реферат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К положению дел в настоящем и будущем [Текст] // Астронавтика и ракетодинамика: экспресс-информация / ВИНИТИ. М., 1986. № 6. С. 1-3. Реф. ст.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Препринт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1. Пуск и исследования основных характеристик реактора ИБР-2 с новым модулятором реактивности гетерогенного типа: препринт Р13-2004-156 / В.Д. Ананьев [и др.]; ОИЯИ. Дубна, 2004. 13 с.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Уханов М.Н.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О поляризации пучка, выведенного изогнутым кристаллом [Текст]: препринт ИФВЭ 2007-3; ИФВЭ. Протвино, 2007. 4 с.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Диссертация, автореферат</w:t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Наумова Е.Г.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Проблемы поиска решения: трехмерный случай: автореф. дис. … канд. мат. наук. М., 1985. 102 с.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Карпик А.П.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Геодезическая пространственная информационная система для обеспечения устойчивого развития территорий: дис. … д-ра техн. наук: 05.24.01. Новосибирск, 2004. 295 с.</w:t>
      </w:r>
    </w:p>
    <w:p w:rsidR="00000000" w:rsidDel="00000000" w:rsidP="00000000" w:rsidRDefault="00000000" w:rsidRPr="00000000" w14:paraId="0000003A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Электронная книга</w:t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Топтыгин И.Н.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Математическое введение в курс общей физики: учебное пособие [Электронный ресурс]. СПб., 2000. URL: ftp://ftp.unilib.neva.ru/dl/010.pdf</w:t>
      </w:r>
    </w:p>
    <w:p w:rsidR="00000000" w:rsidDel="00000000" w:rsidP="00000000" w:rsidRDefault="00000000" w:rsidRPr="00000000" w14:paraId="0000003C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i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Статья из электронного издания (электронный журнал)</w:t>
      </w:r>
    </w:p>
    <w:p w:rsidR="00000000" w:rsidDel="00000000" w:rsidP="00000000" w:rsidRDefault="00000000" w:rsidRPr="00000000" w14:paraId="0000003D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Топтыгин И.Н.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Математическое введение в курс общей физики [Электронный ресурс] // Математика и физика. Общий курс: электронный журнал / МГУ. СПб., 2000. Вып. 5. С. 10-15. URL: ftp://ftp.unilib.neva.ru/dl/010.pdf</w:t>
      </w:r>
    </w:p>
    <w:p w:rsidR="00000000" w:rsidDel="00000000" w:rsidP="00000000" w:rsidRDefault="00000000" w:rsidRPr="00000000" w14:paraId="0000003E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2. География [Электронный ресурс]: электрон. версия газ. 2001. №15 (спец. вып.). URL: http://geo.1september.ru/article.php?ID=200101502 (дата обращения: 13.03.2009).</w:t>
      </w:r>
    </w:p>
    <w:p w:rsidR="00000000" w:rsidDel="00000000" w:rsidP="00000000" w:rsidRDefault="00000000" w:rsidRPr="00000000" w14:paraId="0000003F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Авилова Л. И.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Развитие металлопроизводства в эпоху раннего металла (энеолит ― поздний бронзовый век) [Электронный ресурс]: состояние проблемы и перспективы исследований // Вестн. РФФИ. 1997. №2. URL: http://www.rfbr.ru/pics/22394ref/file.pdf (дата обращения: 19.09.2007).</w:t>
      </w:r>
    </w:p>
    <w:p w:rsidR="00000000" w:rsidDel="00000000" w:rsidP="00000000" w:rsidRDefault="00000000" w:rsidRPr="00000000" w14:paraId="00000040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Интернет-ресурсы</w:t>
      </w:r>
    </w:p>
    <w:p w:rsidR="00000000" w:rsidDel="00000000" w:rsidP="00000000" w:rsidRDefault="00000000" w:rsidRPr="00000000" w14:paraId="00000041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1. Инвестиции останутся сырьевыми [Электронный ресурс] // PROGNOSIS.RU: ежедн. интернет-изд. 2006. 25 янв. URL: http://www.prognosis.ru/print.html?id=6464 (дата обращения: 19.03.2013).</w:t>
      </w:r>
    </w:p>
    <w:p w:rsidR="00000000" w:rsidDel="00000000" w:rsidP="00000000" w:rsidRDefault="00000000" w:rsidRPr="00000000" w14:paraId="00000042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2. Правительство Московской области [Электронный ресурс] // URL: http://www.mosreg.ru</w:t>
      </w:r>
    </w:p>
    <w:p w:rsidR="00000000" w:rsidDel="00000000" w:rsidP="00000000" w:rsidRDefault="00000000" w:rsidRPr="00000000" w14:paraId="00000043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Ресурсы из Znanium.com</w:t>
      </w:r>
    </w:p>
    <w:p w:rsidR="00000000" w:rsidDel="00000000" w:rsidP="00000000" w:rsidRDefault="00000000" w:rsidRPr="00000000" w14:paraId="00000044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333333"/>
          <w:sz w:val="24"/>
          <w:szCs w:val="24"/>
          <w:rtl w:val="0"/>
        </w:rPr>
        <w:t xml:space="preserve">Книга</w:t>
      </w:r>
    </w:p>
    <w:p w:rsidR="00000000" w:rsidDel="00000000" w:rsidP="00000000" w:rsidRDefault="00000000" w:rsidRPr="00000000" w14:paraId="00000045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Соколов Г.А.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Основы теории вероятностей [Электронный ресурс]: учебник. 2-е изд. М.: НИЦ ИНФРА-М, 2015. 340 с. URL: http://znanium.com/catalog.php?bookinfo=405698</w:t>
      </w:r>
    </w:p>
    <w:p w:rsidR="00000000" w:rsidDel="00000000" w:rsidP="00000000" w:rsidRDefault="00000000" w:rsidRPr="00000000" w14:paraId="00000046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333333"/>
          <w:sz w:val="24"/>
          <w:szCs w:val="24"/>
          <w:rtl w:val="0"/>
        </w:rPr>
        <w:t xml:space="preserve">Статья</w:t>
      </w:r>
    </w:p>
    <w:p w:rsidR="00000000" w:rsidDel="00000000" w:rsidP="00000000" w:rsidRDefault="00000000" w:rsidRPr="00000000" w14:paraId="00000047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Топтыгин И.Н.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Математическое введение в курс общей физики [Электронный ресурс] // Математика и физика: общий курс / МГУ. М., 2015. Вып. 10. С. 15-17. URL: http://znanium.com/bookread2.php?book=502752</w:t>
      </w:r>
    </w:p>
    <w:p w:rsidR="00000000" w:rsidDel="00000000" w:rsidP="00000000" w:rsidRDefault="00000000" w:rsidRPr="00000000" w14:paraId="00000048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Ресурсы с DOI</w:t>
      </w:r>
    </w:p>
    <w:p w:rsidR="00000000" w:rsidDel="00000000" w:rsidP="00000000" w:rsidRDefault="00000000" w:rsidRPr="00000000" w14:paraId="00000049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Егорян Л.Б.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Новые области применения web-аналитики: социальная сфера и блогосфера [Электронный ресурс] // Аудитор. 2015. Т. 1. №. 6. C. 43-48. DOI: 10.12737/11619. URL: www.dx.doi.org/10.12737/11619</w:t>
      </w:r>
    </w:p>
    <w:p w:rsidR="00000000" w:rsidDel="00000000" w:rsidP="00000000" w:rsidRDefault="00000000" w:rsidRPr="00000000" w14:paraId="0000004A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Басовский Л.Е.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Оценка экономической эффективности образовательной деятельности в вузах [Электронный ресурс] // Экономика. Т. 3. № 4. С. 31-36. DOI: 10.12737/12776. URL: www.dx.doi.org/10.12737/12776</w:t>
      </w:r>
    </w:p>
    <w:p w:rsidR="00000000" w:rsidDel="00000000" w:rsidP="00000000" w:rsidRDefault="00000000" w:rsidRPr="00000000" w14:paraId="0000004B">
      <w:pPr>
        <w:pStyle w:val="Heading1"/>
        <w:keepNext w:val="0"/>
        <w:keepLines w:val="0"/>
        <w:shd w:fill="ffffff" w:val="clear"/>
        <w:spacing w:after="160" w:before="0" w:line="300" w:lineRule="auto"/>
        <w:jc w:val="both"/>
        <w:rPr>
          <w:rFonts w:ascii="Trebuchet MS" w:cs="Trebuchet MS" w:eastAsia="Trebuchet MS" w:hAnsi="Trebuchet MS"/>
          <w:color w:val="333333"/>
          <w:sz w:val="54"/>
          <w:szCs w:val="54"/>
        </w:rPr>
      </w:pPr>
      <w:bookmarkStart w:colFirst="0" w:colLast="0" w:name="_hc6frrqkk60u" w:id="3"/>
      <w:bookmarkEnd w:id="3"/>
      <w:r w:rsidDel="00000000" w:rsidR="00000000" w:rsidRPr="00000000">
        <w:rPr>
          <w:rFonts w:ascii="Trebuchet MS" w:cs="Trebuchet MS" w:eastAsia="Trebuchet MS" w:hAnsi="Trebuchet MS"/>
          <w:color w:val="333333"/>
          <w:sz w:val="54"/>
          <w:szCs w:val="54"/>
          <w:rtl w:val="0"/>
        </w:rPr>
        <w:t xml:space="preserve">Оформление списка литературы на латинице (References)</w:t>
      </w:r>
    </w:p>
    <w:p w:rsidR="00000000" w:rsidDel="00000000" w:rsidP="00000000" w:rsidRDefault="00000000" w:rsidRPr="00000000" w14:paraId="0000004C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Основные структурные элементы списка литературы на английском языке:</w:t>
      </w:r>
    </w:p>
    <w:p w:rsidR="00000000" w:rsidDel="00000000" w:rsidP="00000000" w:rsidRDefault="00000000" w:rsidRPr="00000000" w14:paraId="0000004D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1. Авторы</w:t>
      </w:r>
    </w:p>
    <w:p w:rsidR="00000000" w:rsidDel="00000000" w:rsidP="00000000" w:rsidRDefault="00000000" w:rsidRPr="00000000" w14:paraId="0000004E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Перечисляются все авторы материала через запятую. Фамилия и инициалы транслитерируются. Инициалы от фамилии запятой не отделяются.</w:t>
      </w:r>
    </w:p>
    <w:p w:rsidR="00000000" w:rsidDel="00000000" w:rsidP="00000000" w:rsidRDefault="00000000" w:rsidRPr="00000000" w14:paraId="0000004F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Пример: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Zagurenko A.G., Korotovskikh V.A., Kolesnikov A.A., Timonov A.V., Kardymon D.V.</w:t>
      </w:r>
    </w:p>
    <w:p w:rsidR="00000000" w:rsidDel="00000000" w:rsidP="00000000" w:rsidRDefault="00000000" w:rsidRPr="00000000" w14:paraId="00000050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2. Название источника</w:t>
      </w:r>
    </w:p>
    <w:p w:rsidR="00000000" w:rsidDel="00000000" w:rsidP="00000000" w:rsidRDefault="00000000" w:rsidRPr="00000000" w14:paraId="00000051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Название статьи (раздела книги):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перевод на английский.</w:t>
      </w:r>
    </w:p>
    <w:p w:rsidR="00000000" w:rsidDel="00000000" w:rsidP="00000000" w:rsidRDefault="00000000" w:rsidRPr="00000000" w14:paraId="00000052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Пример: Considering the economical nature of investment agreement when deciding practical issues (on example of the lease agreement) Pravo [Law]</w:t>
      </w:r>
    </w:p>
    <w:p w:rsidR="00000000" w:rsidDel="00000000" w:rsidP="00000000" w:rsidRDefault="00000000" w:rsidRPr="00000000" w14:paraId="00000053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Название книги (журнала):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транслитерированное название выделяется курсивом, затем идет перевод на английский язык в квадратных скобках.</w:t>
      </w:r>
    </w:p>
    <w:p w:rsidR="00000000" w:rsidDel="00000000" w:rsidP="00000000" w:rsidRDefault="00000000" w:rsidRPr="00000000" w14:paraId="00000054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Пример: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Poslednee pravitel'stvo SSSR [Last government of the USSR]</w:t>
      </w:r>
    </w:p>
    <w:p w:rsidR="00000000" w:rsidDel="00000000" w:rsidP="00000000" w:rsidRDefault="00000000" w:rsidRPr="00000000" w14:paraId="00000055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3. Выходные сведения</w:t>
      </w:r>
    </w:p>
    <w:p w:rsidR="00000000" w:rsidDel="00000000" w:rsidP="00000000" w:rsidRDefault="00000000" w:rsidRPr="00000000" w14:paraId="00000056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Для книги: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город издания (на английском языке), название издательства (транслитерация с добавлением сокращения Publ.), год издания.</w:t>
      </w:r>
    </w:p>
    <w:p w:rsidR="00000000" w:rsidDel="00000000" w:rsidP="00000000" w:rsidRDefault="00000000" w:rsidRPr="00000000" w14:paraId="00000057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Пример: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Moscow, Krom Publ., 2013.</w:t>
      </w:r>
    </w:p>
    <w:p w:rsidR="00000000" w:rsidDel="00000000" w:rsidP="00000000" w:rsidRDefault="00000000" w:rsidRPr="00000000" w14:paraId="00000058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Для статьи из журнала: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год, том, выпуск журнала или год, номер.</w:t>
      </w:r>
    </w:p>
    <w:p w:rsidR="00000000" w:rsidDel="00000000" w:rsidP="00000000" w:rsidRDefault="00000000" w:rsidRPr="00000000" w14:paraId="00000059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Пример: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2013, vol. 5, i. 2. (на кириллице - 2013, Т. 5, № 2) или 2013, no. 7.</w:t>
      </w:r>
    </w:p>
    <w:p w:rsidR="00000000" w:rsidDel="00000000" w:rsidP="00000000" w:rsidRDefault="00000000" w:rsidRPr="00000000" w14:paraId="0000005A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4. Объем</w:t>
      </w:r>
    </w:p>
    <w:p w:rsidR="00000000" w:rsidDel="00000000" w:rsidP="00000000" w:rsidRDefault="00000000" w:rsidRPr="00000000" w14:paraId="0000005B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Указание на общее количество страниц или диапазон «от-до».</w:t>
      </w:r>
    </w:p>
    <w:p w:rsidR="00000000" w:rsidDel="00000000" w:rsidP="00000000" w:rsidRDefault="00000000" w:rsidRPr="00000000" w14:paraId="0000005C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Пример: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221 p. или pp. 54-57.</w:t>
      </w:r>
    </w:p>
    <w:p w:rsidR="00000000" w:rsidDel="00000000" w:rsidP="00000000" w:rsidRDefault="00000000" w:rsidRPr="00000000" w14:paraId="0000005D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5. Язык</w:t>
      </w:r>
    </w:p>
    <w:p w:rsidR="00000000" w:rsidDel="00000000" w:rsidP="00000000" w:rsidRDefault="00000000" w:rsidRPr="00000000" w14:paraId="0000005E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Описание статей и материалов конференций на русском языке заканчиваются указанием языка (in Russian).</w:t>
      </w:r>
    </w:p>
    <w:p w:rsidR="00000000" w:rsidDel="00000000" w:rsidP="00000000" w:rsidRDefault="00000000" w:rsidRPr="00000000" w14:paraId="0000005F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6. DOI</w:t>
      </w:r>
    </w:p>
    <w:p w:rsidR="00000000" w:rsidDel="00000000" w:rsidP="00000000" w:rsidRDefault="00000000" w:rsidRPr="00000000" w14:paraId="00000060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Если есть, обязательно указывается DOI.</w:t>
      </w:r>
    </w:p>
    <w:p w:rsidR="00000000" w:rsidDel="00000000" w:rsidP="00000000" w:rsidRDefault="00000000" w:rsidRPr="00000000" w14:paraId="00000061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Пример: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DOI: 10.12737/2156</w:t>
      </w:r>
    </w:p>
    <w:p w:rsidR="00000000" w:rsidDel="00000000" w:rsidP="00000000" w:rsidRDefault="00000000" w:rsidRPr="00000000" w14:paraId="00000062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Стоит обращать внимание на следующие моменты: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Если в списке есть ссылки на иностранные публикации, они полностью повторяются в списке, готовящемся в романском алфавите.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При описании переводного издания предпочтительней описание оригинальной его версии. Переводная версия может быть описана в скобках - как дополнительные сведения. Когда не удается выявить сведения об оригинальной версии книги, либо переводная версия является, например, сборником из нескольких зарубежных изданий, в основном описании остается переводное издание.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В описаниях русскоязычных учебников, учебных пособий не надо указывать тип изданий.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Описание нормативных документов, патентов, отчетов и т. д. предпочтительней приводить в переводе на английский с указанием в скобках (in Russian).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Название конференций приводится транслитерированным, в квадратных скобках дается перевод.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1"/>
          <w:szCs w:val="21"/>
          <w:rtl w:val="0"/>
        </w:rPr>
        <w:t xml:space="preserve">Для неопубликованных документов, имеющих автора, указывается название с указанием в скобках (unpublished). Если авторство в документе отсутствует указывают название и «Unpublished Source» или «Unpublished Report».</w:t>
      </w:r>
    </w:p>
    <w:p w:rsidR="00000000" w:rsidDel="00000000" w:rsidP="00000000" w:rsidRDefault="00000000" w:rsidRPr="00000000" w14:paraId="00000069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b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4"/>
          <w:szCs w:val="24"/>
          <w:rtl w:val="0"/>
        </w:rPr>
        <w:t xml:space="preserve">Примеры описаний</w:t>
      </w:r>
    </w:p>
    <w:p w:rsidR="00000000" w:rsidDel="00000000" w:rsidP="00000000" w:rsidRDefault="00000000" w:rsidRPr="00000000" w14:paraId="0000006A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i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Статья:</w:t>
      </w:r>
    </w:p>
    <w:p w:rsidR="00000000" w:rsidDel="00000000" w:rsidP="00000000" w:rsidRDefault="00000000" w:rsidRPr="00000000" w14:paraId="0000006B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Zagurenko A.G., Korotovskikh V.A., Kolesnikov A.A., Timonov A.V., Kardymon D.V. Techno-economic optimization of the design of hydraulic fracturing.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Neftyanoe khozyaistvo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[Oil Industry], 2008, no.11, pp. 54-57. (in Russian)</w:t>
      </w:r>
    </w:p>
    <w:p w:rsidR="00000000" w:rsidDel="00000000" w:rsidP="00000000" w:rsidRDefault="00000000" w:rsidRPr="00000000" w14:paraId="0000006C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Sergeev A., Tereshchenko T. Considering the economical nature of investment agreement when deciding practical issues (on example of the lease agreement)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Pravo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 [Law], 2013, V. 1, I. 4, p. 219-223. (in Russian) DOI: 10.12737/985</w:t>
      </w:r>
    </w:p>
    <w:p w:rsidR="00000000" w:rsidDel="00000000" w:rsidP="00000000" w:rsidRDefault="00000000" w:rsidRPr="00000000" w14:paraId="0000006D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i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Статья из электронного журнала:</w:t>
      </w:r>
    </w:p>
    <w:p w:rsidR="00000000" w:rsidDel="00000000" w:rsidP="00000000" w:rsidRDefault="00000000" w:rsidRPr="00000000" w14:paraId="0000006E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Swaminathan V., Lepkoswka-White E., Rao B.P. Browsers or buyers in cyberspace? An investigation of electronic factors influencing electronic exchange. </w:t>
      </w: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Journal of Computer-Mediated Communication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, 1999, vol. 5, no. 2. Available at: http://www.ascusc.org/jcmc/vol5/issue2/ (Accessed 28 April 2011).</w:t>
      </w:r>
    </w:p>
    <w:p w:rsidR="00000000" w:rsidDel="00000000" w:rsidP="00000000" w:rsidRDefault="00000000" w:rsidRPr="00000000" w14:paraId="0000006F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Статья из продолжающегося издания (сборника трудов):</w:t>
      </w:r>
    </w:p>
    <w:p w:rsidR="00000000" w:rsidDel="00000000" w:rsidP="00000000" w:rsidRDefault="00000000" w:rsidRPr="00000000" w14:paraId="00000070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Astakhov M.V., Tagantsev T.V. Experimental study of the strength of joints "steel-composite". Trudy MGTU «Matematicheskoe modelirovanie slozhnykh tekhnicheskikh sistem» [Proc. of the Bauman MSTU "Mathematical Modeling of Complex Technical Systems"], 2006, no. 593, pp. 125-130</w:t>
      </w:r>
    </w:p>
    <w:p w:rsidR="00000000" w:rsidDel="00000000" w:rsidP="00000000" w:rsidRDefault="00000000" w:rsidRPr="00000000" w14:paraId="00000071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i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Материалы конференций:</w:t>
      </w:r>
    </w:p>
    <w:p w:rsidR="00000000" w:rsidDel="00000000" w:rsidP="00000000" w:rsidRDefault="00000000" w:rsidRPr="00000000" w14:paraId="00000072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Usmanov T.S., Gusmanov A.A., Mullagalin I.Z., Muhametshina R.Ju., Chervyakova A.N., Sveshnikov A.V. Features of the design of field development with the use of hydraulic fracturing. Trudy 6 Mezhdunarodnogo Simpoziuma "Novye resursosberegayushchie tekhnologii nedropol'zovaniya i povysheniya neftegazootdachi" [Proc. 6th Int. Symp. "New energy saving subsoil technologies and the increasing of the oil and gas impact"]. Moscow, 2007, pp. 267-272.(In Russian).</w:t>
      </w:r>
    </w:p>
    <w:p w:rsidR="00000000" w:rsidDel="00000000" w:rsidP="00000000" w:rsidRDefault="00000000" w:rsidRPr="00000000" w14:paraId="00000073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i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Книга (монография, сборник):</w:t>
      </w:r>
    </w:p>
    <w:p w:rsidR="00000000" w:rsidDel="00000000" w:rsidP="00000000" w:rsidRDefault="00000000" w:rsidRPr="00000000" w14:paraId="00000074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Nenashev M.F. Poslednee pravitel'stvo SSSR [Last government of the USSR]. Moscow, Krom Publ., 1993. 221 p.</w:t>
      </w:r>
    </w:p>
    <w:p w:rsidR="00000000" w:rsidDel="00000000" w:rsidP="00000000" w:rsidRDefault="00000000" w:rsidRPr="00000000" w14:paraId="00000075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Kanevskaya R.D. Matematicheskoe modelirovanie gidrodinamicheskikh protsessov razrabotki mestorozhdenii uglevodorodov[Mathematical modeling of hydrodynamic processesof hydrocarbon deposit development]. Izhevsk, 2002. 140 p.</w:t>
      </w:r>
    </w:p>
    <w:p w:rsidR="00000000" w:rsidDel="00000000" w:rsidP="00000000" w:rsidRDefault="00000000" w:rsidRPr="00000000" w14:paraId="00000076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Latyshev V.N., Tribologiya rezaniya. Kn. 1: Friktsionnye protsessy pri rezanie metallov [Tribology of Cutting, Vol. 1: Frictional Processes in Metal Cutting]. Ivanovo, Ivanovskii Gos. Univ., 2009.</w:t>
      </w:r>
    </w:p>
    <w:p w:rsidR="00000000" w:rsidDel="00000000" w:rsidP="00000000" w:rsidRDefault="00000000" w:rsidRPr="00000000" w14:paraId="00000077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i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Переводная книга:</w:t>
      </w:r>
    </w:p>
    <w:p w:rsidR="00000000" w:rsidDel="00000000" w:rsidP="00000000" w:rsidRDefault="00000000" w:rsidRPr="00000000" w14:paraId="00000078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Timoshenko S.P., Young D.H., Weaver W. Vibration problems in engineering. 4th ed. New York, Wiley, 1974. 521 p. (Russ. ed.: Timoshenko S.P., Iang D.Kh., Uiver U. Kolebaniia v inzhenernom dele. Moscow, Mashinostroenie Publ., 1985. 472 p.).</w:t>
      </w:r>
    </w:p>
    <w:p w:rsidR="00000000" w:rsidDel="00000000" w:rsidP="00000000" w:rsidRDefault="00000000" w:rsidRPr="00000000" w14:paraId="00000079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Brooking A., Jones P., Cox F. Expert systems. Principles and case studies. Chapman and Hall, 1984. 231 p. (Russ. ed.: Bruking A., Dzhons P., Koks F. Ekspertnye sistemy. Printsipy raboty i primery. Moscow, Radio i sviaz' Publ., 1987. 224 p.).</w:t>
      </w:r>
    </w:p>
    <w:p w:rsidR="00000000" w:rsidDel="00000000" w:rsidP="00000000" w:rsidRDefault="00000000" w:rsidRPr="00000000" w14:paraId="0000007A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i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Неопубликованный документ:</w:t>
      </w:r>
    </w:p>
    <w:p w:rsidR="00000000" w:rsidDel="00000000" w:rsidP="00000000" w:rsidRDefault="00000000" w:rsidRPr="00000000" w14:paraId="0000007B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Latypov A.R., Khasanov M.M., Baikov V.A. Geology and Production (NGT GiD). The Certificate on official registration of the computer program. No. 2004611198, 2004. (In Russian, unpublished).</w:t>
      </w:r>
    </w:p>
    <w:p w:rsidR="00000000" w:rsidDel="00000000" w:rsidP="00000000" w:rsidRDefault="00000000" w:rsidRPr="00000000" w14:paraId="0000007C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Generator davleniia GD-2M. Tekhnicheskoe opisanie i instruktsiia po ekspluatatsii [Pressure generator GD-2M. Technical description and user manual]. Zagorsk, Res. Inst. OfAppl. Chem. Publ., 1975. 15 p.</w:t>
      </w:r>
    </w:p>
    <w:p w:rsidR="00000000" w:rsidDel="00000000" w:rsidP="00000000" w:rsidRDefault="00000000" w:rsidRPr="00000000" w14:paraId="0000007D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i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Интернет-ресурс:</w:t>
      </w:r>
    </w:p>
    <w:p w:rsidR="00000000" w:rsidDel="00000000" w:rsidP="00000000" w:rsidRDefault="00000000" w:rsidRPr="00000000" w14:paraId="0000007E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APA Style (2011). Available at: http://www.apastyle.org/apa-style-help.aspx (accessed 5 February 2011).</w:t>
      </w:r>
    </w:p>
    <w:p w:rsidR="00000000" w:rsidDel="00000000" w:rsidP="00000000" w:rsidRDefault="00000000" w:rsidRPr="00000000" w14:paraId="0000007F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Pravila Tsitirovaniya Istochnikov [Rules for the Citing of Sources] Available at: http://www.scribd.com/doc/1034528/ (accessed 7 February 2011)</w:t>
      </w:r>
    </w:p>
    <w:p w:rsidR="00000000" w:rsidDel="00000000" w:rsidP="00000000" w:rsidRDefault="00000000" w:rsidRPr="00000000" w14:paraId="00000080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i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Диссертация или автореферат диссертации:</w:t>
      </w:r>
    </w:p>
    <w:p w:rsidR="00000000" w:rsidDel="00000000" w:rsidP="00000000" w:rsidRDefault="00000000" w:rsidRPr="00000000" w14:paraId="00000081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Semenov V.I. Matematicheskoe modelirovanie plazmy v sisteme kompaktnyi tor. Dokt, Diss. [Mathematical modeling of the plasma in the compact torus. Doct. Diss.]. Moscow, 2003. 272 p.</w:t>
      </w:r>
    </w:p>
    <w:p w:rsidR="00000000" w:rsidDel="00000000" w:rsidP="00000000" w:rsidRDefault="00000000" w:rsidRPr="00000000" w14:paraId="00000082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i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ГОСТ:</w:t>
      </w:r>
    </w:p>
    <w:p w:rsidR="00000000" w:rsidDel="00000000" w:rsidP="00000000" w:rsidRDefault="00000000" w:rsidRPr="00000000" w14:paraId="00000083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State Standard 8.586.5-2005. Method of measurement. Measurement of flow rate and volume of liquids and gases by means of orifice devices. Moscow, Standartinform Publ., 2007. 10 p. (In Russian)</w:t>
      </w:r>
    </w:p>
    <w:p w:rsidR="00000000" w:rsidDel="00000000" w:rsidP="00000000" w:rsidRDefault="00000000" w:rsidRPr="00000000" w14:paraId="00000084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i w:val="1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333333"/>
          <w:sz w:val="24"/>
          <w:szCs w:val="24"/>
          <w:rtl w:val="0"/>
        </w:rPr>
        <w:t xml:space="preserve">Патент:</w:t>
      </w:r>
    </w:p>
    <w:p w:rsidR="00000000" w:rsidDel="00000000" w:rsidP="00000000" w:rsidRDefault="00000000" w:rsidRPr="00000000" w14:paraId="00000085">
      <w:pPr>
        <w:shd w:fill="ffffff" w:val="clear"/>
        <w:spacing w:after="160" w:lineRule="auto"/>
        <w:jc w:val="both"/>
        <w:rPr>
          <w:rFonts w:ascii="Trebuchet MS" w:cs="Trebuchet MS" w:eastAsia="Trebuchet MS" w:hAnsi="Trebuchet MS"/>
          <w:color w:val="3333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Palkin M.V., e.a. Sposob orientirovaniia po krenu letatel'nogo apparata s opticheskoi golovkoi samonavedeniia [The way to orient on the roll of aircraft with optical homing head]. Patent RF,no. 2280590, 2006.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rebuchet MS" w:cs="Trebuchet MS" w:eastAsia="Trebuchet MS" w:hAnsi="Trebuchet MS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rebuchet MS" w:cs="Trebuchet MS" w:eastAsia="Trebuchet MS" w:hAnsi="Trebuchet MS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rebuchet MS" w:cs="Trebuchet MS" w:eastAsia="Trebuchet MS" w:hAnsi="Trebuchet MS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aukaru.ru/ru/nauka/journal/16/view#sgit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