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Направляя рукопись статьи в редакцию сборника «Вести газовой науки», авторы передают издателю безвозмездное исключительное право опубликовать ее в печатной версии сборника, его электронном аналоге – CD-диске на русском и на английском языках, а также разместить в сети интернет – на портале www.elibrary.ru и на сайте www.vesti-gas.ru. Передача права удостоверяется </w:t>
      </w:r>
      <w:hyperlink r:id="rId6">
        <w:r w:rsidDel="00000000" w:rsidR="00000000" w:rsidRPr="00000000">
          <w:rPr>
            <w:color w:val="00a1f4"/>
            <w:sz w:val="21"/>
            <w:szCs w:val="21"/>
            <w:rtl w:val="0"/>
          </w:rPr>
          <w:t xml:space="preserve">лицензионными соглашениями</w:t>
        </w:r>
      </w:hyperlink>
      <w:r w:rsidDel="00000000" w:rsidR="00000000" w:rsidRPr="00000000">
        <w:rPr>
          <w:color w:val="666666"/>
          <w:sz w:val="21"/>
          <w:szCs w:val="21"/>
          <w:rtl w:val="0"/>
        </w:rPr>
        <w:t xml:space="preserve">, оригиналы которых должны быть собственноручно подписаны каждым соавтором статьи и высланы в адрес редакции сборника “Вести газовой науки" (редакция гарантирует конфиденциальность личных данных).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Автору принадлежат интеллектуальные права на научное произведение в соответствии со ст. 1265, 1266, 1268 ч. IV ГК РФ.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Статья должна быть оригинальной, т.е. не публиковавшейся ранее полностью или частично (не более 15 % заимствования).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Статья предоставляется на бумажном и электронном носителях. Рекомендуемый объем статьи (редактор MS Word, кегль 14, гарнитура Times New Roman, межстрочный интервал полуторный) не более 10–12 страниц, включая рисунки (не более 5, в том числе а, б, в), таблицы, библиографический список. На бумажном носителе должны быть подписи всех авторов.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Требования к оформлению авторского оригинала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Авторский оригинал предоставляется на бумажном и электронном носителях. Рекомендуемый объем статьи не более 25 тыс. печатных знаков (с учетом пробелов). На бумажном носителе должны быть подписи всех авторов.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К статье в обязательном порядке прилагаются: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полный библиографический список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по ГОСТ Р 7.0.5-2008 «Библиогра­фическая ссылка. Общие требования и правила составления». Ссылки на электронные документы оформлятся согласно ГОСТ 7.82-2001 «Библиографическая запись. Библиографическое описание электронных ресурсов». Библиографический список должен включать все источники, упомянутые в тексте статьи, в порядке цитирования. Ссылки на неопубликованные работы не допускаются. С целью обеспечения максимально возможной аутентичности представления пристатейных библиографических списков в переводе на английский язык редакция просит авторов по возможности указывать известные им точные названия собственных и чужих статей на английском языке, если таковой перевод был опубликован в цитируемом первоисточнике;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экспертное заключение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о возможности публикации в открытой печати либо заверенное подписью руководителя организации направление, подтверждающее, что работа не содержит секретной информации;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ind w:left="720" w:hanging="360"/>
      </w:pPr>
      <w:hyperlink r:id="rId7">
        <w:r w:rsidDel="00000000" w:rsidR="00000000" w:rsidRPr="00000000">
          <w:rPr>
            <w:b w:val="1"/>
            <w:color w:val="00a1f4"/>
            <w:sz w:val="21"/>
            <w:szCs w:val="21"/>
            <w:rtl w:val="0"/>
          </w:rPr>
          <w:t xml:space="preserve">сведения об авторах</w:t>
        </w:r>
      </w:hyperlink>
      <w:r w:rsidDel="00000000" w:rsidR="00000000" w:rsidRPr="00000000">
        <w:rPr>
          <w:color w:val="666666"/>
          <w:sz w:val="21"/>
          <w:szCs w:val="21"/>
          <w:rtl w:val="0"/>
        </w:rPr>
        <w:t xml:space="preserve">: фамилия, имя, отчество (полностью); ученая степень; звание; название учреждения; должность; контактный телефон и е-mail [сторонним авторам необходимо дополнительно сообщить почтовый адрес с индексом (для пересылки авторского экземпляра) и паспортные данные для оформления лицензионного договора (конфиденциально)];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пять-шесть </w:t>
      </w: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ключевых слов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3" w:sz="0" w:val="none"/>
          <w:bottom w:color="auto" w:space="0" w:sz="0" w:val="none"/>
          <w:right w:color="auto" w:space="0" w:sz="0" w:val="none"/>
        </w:pBdr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тезисы (расширенная аннотация):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не менее 1800 печатных знаков, содержат краткое изложение предмета, задач и основных результатов исследования.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Все аббревиатуры и сокращения (ГОСТ Р 7.0.12-2011) в тексте рукописи расшифровываются, единицы измерения указываются согласно ГОСТ 8.417-2002.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Таблицы, рисунки и формулы должны иметь сквозную нумерацию, название и ссылку в тексте. Иллюстрации предоставляются в масштабе 1:1 в оригинальных форматах: схемы и графики – в векторном виде (Corel, Adobe Illustrator, Excel, Visio), фотографии с разрешением не ниже 250 dpi. Для подготовки математических выражений рекомендуется использовать редактор формул MathType (гарнитура Times New Roman).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Примеры библиографических описаний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Издания: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Лапшин В.И. Формирование, состав и компонентоотдача пластовых флюидальных систем глубокозалегающих карбонатных залежей: обз. инф. / В.И. Лапшин, В.А. Николаев, Д.В. Изюмченко и др. – М.: Газпром ВНИИГАЗ, 2010. – 118 с.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Составные части периодических изданий: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Белалов В.Р. Зависимость термодиффузионного разделения некоторых природных бинарных смесей газов от давления / В.Р. Белалов, А.Ф. Богатырев; под ред. Б.А. Григорьева // Актуальные вопросы исследования пластовых систем месторождений углеводородов: сб. науч. ст. – М.: Газпром ВНИИГАЗ, 2013. – С. 255–264.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Chosh A.K. Thermal Diffusion in Multicomponent Gas Mixtures / A.K. Chosh, A.K. Batabyal, A.K. Barua // J. Chem. Phys. – 1967. – V. 47. – № 10. – P. 3704–3707.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Патентные документы: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Пат. 2187888 Российская Федерация, МПК Н 04 В 1/38, Н 04 J 13/00. Приемопередающее устройство / Чугаева В.И.; заявитель и патентообладатель Воронеж. науч.-исслед. ин-т связи. – № 2000131736/09; заявл. 18.12.00; опубл. 20.08.02, Бюл. № 23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esti-gas.ru/sites/default/files/license_agreement_0.doc" TargetMode="External"/><Relationship Id="rId7" Type="http://schemas.openxmlformats.org/officeDocument/2006/relationships/hyperlink" Target="http://vesti-gas.ru/sites/default/files/information_about_authors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