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Rule="auto"/>
        <w:jc w:val="center"/>
        <w:rPr>
          <w:rFonts w:ascii="Verdana" w:cs="Verdana" w:eastAsia="Verdana" w:hAnsi="Verdana"/>
          <w:b w:val="1"/>
          <w:color w:val="222222"/>
          <w:sz w:val="42"/>
          <w:szCs w:val="42"/>
          <w:highlight w:val="white"/>
        </w:rPr>
      </w:pPr>
      <w:bookmarkStart w:colFirst="0" w:colLast="0" w:name="_4ivlmene8hp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222222"/>
          <w:sz w:val="42"/>
          <w:szCs w:val="42"/>
          <w:highlight w:val="white"/>
          <w:rtl w:val="0"/>
        </w:rPr>
        <w:t xml:space="preserve">ПОРЯДОК РЕЦЕНЗИРОВАНИЯ РУКОПИСЕЙ</w:t>
      </w:r>
    </w:p>
    <w:p w:rsidR="00000000" w:rsidDel="00000000" w:rsidP="00000000" w:rsidRDefault="00000000" w:rsidRPr="00000000" w14:paraId="00000002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16"/>
          <w:szCs w:val="16"/>
          <w:highlight w:val="white"/>
          <w:rtl w:val="0"/>
        </w:rPr>
        <w:t xml:space="preserve">1. Издание осуществляет рецензирование всех поступающих в редакцию материалов, соответствующих ее тематике, с целью их экспертной оценки. Все рецензенты являются признанными специалистами по тематике рецензируемых материалов и имеют в течение последних 3 лет публикации по тематике рецензируемой статьи.</w:t>
      </w:r>
    </w:p>
    <w:p w:rsidR="00000000" w:rsidDel="00000000" w:rsidP="00000000" w:rsidRDefault="00000000" w:rsidRPr="00000000" w14:paraId="00000004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16"/>
          <w:szCs w:val="16"/>
          <w:highlight w:val="white"/>
          <w:rtl w:val="0"/>
        </w:rPr>
        <w:t xml:space="preserve">2. Редакция издания направляет авторам представленных материалов копии рецензий или мотивированный отказ, а также обязуется направлять копии рецензий в Министерство образования и науки Российской Федерации при поступлении в редакцию издания соответствующего запроса.</w:t>
      </w:r>
    </w:p>
    <w:p w:rsidR="00000000" w:rsidDel="00000000" w:rsidP="00000000" w:rsidRDefault="00000000" w:rsidRPr="00000000" w14:paraId="00000005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16"/>
          <w:szCs w:val="16"/>
          <w:highlight w:val="white"/>
          <w:rtl w:val="0"/>
        </w:rPr>
        <w:t xml:space="preserve">3. Главный редактор журнала определяет соответствие статьи профилю журнала, требованиям к оформлению и направляет ее на рецензирование специалисту, доктору или кандидату наук, имеющему наиболее близкую к теме статьи научную специализацию. Рецензирование проходит по «слепой» схеме, когда рецензенты знают автора, но автор не знает рецензента. Оно выполняется для каждой статьи и осуществляется в двух формах:</w:t>
      </w:r>
    </w:p>
    <w:p w:rsidR="00000000" w:rsidDel="00000000" w:rsidP="00000000" w:rsidRDefault="00000000" w:rsidRPr="00000000" w14:paraId="00000006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16"/>
          <w:szCs w:val="16"/>
          <w:highlight w:val="white"/>
          <w:rtl w:val="0"/>
        </w:rPr>
        <w:t xml:space="preserve">· внутреннее рецензирование статей, по меньшей мере, тремя членами редакционного совета и редакционной коллегии журнала;</w:t>
      </w:r>
    </w:p>
    <w:p w:rsidR="00000000" w:rsidDel="00000000" w:rsidP="00000000" w:rsidRDefault="00000000" w:rsidRPr="00000000" w14:paraId="00000007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16"/>
          <w:szCs w:val="16"/>
          <w:highlight w:val="white"/>
          <w:rtl w:val="0"/>
        </w:rPr>
        <w:t xml:space="preserve">· внешнее рецензирование статей ведущими учеными - специалистами в соответствующей отрасли науки, внештатными корреспондентами издательства, действующими вне рамок редакционных совета и коллегии журнала, составляющими структуру института внешней экспертной оценки научных публикаций в журнале.</w:t>
      </w:r>
    </w:p>
    <w:p w:rsidR="00000000" w:rsidDel="00000000" w:rsidP="00000000" w:rsidRDefault="00000000" w:rsidRPr="00000000" w14:paraId="00000008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16"/>
          <w:szCs w:val="16"/>
          <w:highlight w:val="white"/>
          <w:rtl w:val="0"/>
        </w:rPr>
        <w:t xml:space="preserve">4. В рецензии должны быть освещены следующие вопросы: - соответствует ли содержание статьи заявленной в названии теме; - насколько статья соответствует современным достижениям научно-теоретической мысли; - присутствует ли научная новизна в рассматриваемой статье; - доступна ли статья читателям, на которых она рассчитана, с точки зрения языка, стиля, расположения материала, наглядности таблиц, диаграмм, рисунков и прочего; - целесообразна ли публикация статьи с учетом ранее выпущенной по данному вопросу литературы; - в чем конкретно заключаются положительные стороны, а также недостатки статьи, какие исправления и дополнения должны быть внесены автором; - вывод о возможности опубликования данной статьи в журнале: «рекомендуется», «рекомендуется с учетом исправления отмеченных рецензентом недостатков» или «не рекомендуется».</w:t>
      </w:r>
    </w:p>
    <w:p w:rsidR="00000000" w:rsidDel="00000000" w:rsidP="00000000" w:rsidRDefault="00000000" w:rsidRPr="00000000" w14:paraId="00000009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16"/>
          <w:szCs w:val="16"/>
          <w:highlight w:val="white"/>
          <w:rtl w:val="0"/>
        </w:rPr>
        <w:t xml:space="preserve">5. Администратор издательства в срок не позднее семи дней, уведомляет авторов о получении статьи и определяет сроки рецензирования с учетом создания условий для максимально оперативной публикации статьи.</w:t>
      </w:r>
    </w:p>
    <w:p w:rsidR="00000000" w:rsidDel="00000000" w:rsidP="00000000" w:rsidRDefault="00000000" w:rsidRPr="00000000" w14:paraId="0000000A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16"/>
          <w:szCs w:val="16"/>
          <w:highlight w:val="white"/>
          <w:rtl w:val="0"/>
        </w:rPr>
        <w:t xml:space="preserve">6. Рецензии заверяются в порядке, установленном в учреждении по месту работы рецензента.</w:t>
      </w:r>
    </w:p>
    <w:p w:rsidR="00000000" w:rsidDel="00000000" w:rsidP="00000000" w:rsidRDefault="00000000" w:rsidRPr="00000000" w14:paraId="0000000B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16"/>
          <w:szCs w:val="16"/>
          <w:highlight w:val="white"/>
          <w:rtl w:val="0"/>
        </w:rPr>
        <w:t xml:space="preserve">7. В случае отклонения статьи редакция направляет автору мотивированный отказ.</w:t>
      </w:r>
    </w:p>
    <w:p w:rsidR="00000000" w:rsidDel="00000000" w:rsidP="00000000" w:rsidRDefault="00000000" w:rsidRPr="00000000" w14:paraId="0000000C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16"/>
          <w:szCs w:val="16"/>
          <w:highlight w:val="white"/>
          <w:rtl w:val="0"/>
        </w:rPr>
        <w:t xml:space="preserve">8. Наличие положительной рецензии не является достаточным основанием для публикации статьи. Окончательное решение о целесообразности публикации принимается редакционным советом журнала и автор получает информацию о сроках публикации.</w:t>
      </w:r>
    </w:p>
    <w:p w:rsidR="00000000" w:rsidDel="00000000" w:rsidP="00000000" w:rsidRDefault="00000000" w:rsidRPr="00000000" w14:paraId="0000000D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16"/>
          <w:szCs w:val="16"/>
          <w:highlight w:val="white"/>
          <w:rtl w:val="0"/>
        </w:rPr>
        <w:t xml:space="preserve">9. Оригиналы рецензий хранятся в архиве издательства в течение 5 лет.</w:t>
      </w:r>
    </w:p>
    <w:p w:rsidR="00000000" w:rsidDel="00000000" w:rsidP="00000000" w:rsidRDefault="00000000" w:rsidRPr="00000000" w14:paraId="0000000E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16"/>
          <w:szCs w:val="16"/>
          <w:highlight w:val="white"/>
        </w:rPr>
        <w:drawing>
          <wp:inline distB="114300" distT="114300" distL="114300" distR="114300">
            <wp:extent cx="5575300" cy="7620000"/>
            <wp:effectExtent b="0" l="0" r="0" t="0"/>
            <wp:docPr descr="1.jpg" id="1" name="image1.jpg"/>
            <a:graphic>
              <a:graphicData uri="http://schemas.openxmlformats.org/drawingml/2006/picture">
                <pic:pic>
                  <pic:nvPicPr>
                    <pic:cNvPr descr="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80" w:before="80" w:line="342.85714285714283" w:lineRule="auto"/>
        <w:ind w:firstLine="380"/>
        <w:jc w:val="both"/>
        <w:rPr>
          <w:rFonts w:ascii="Verdana" w:cs="Verdana" w:eastAsia="Verdana" w:hAnsi="Verdana"/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1"/>
          <w:szCs w:val="21"/>
          <w:highlight w:val="white"/>
          <w:rtl w:val="0"/>
        </w:rPr>
        <w:t xml:space="preserve">СТРУКТУРА ИНСТИТУТА ЭКСПЕРТНОЙ ОЦЕНКИ ПУБЛИКАЦИЙ В ЖУРНАЛЕ: </w:t>
      </w:r>
    </w:p>
    <w:p w:rsidR="00000000" w:rsidDel="00000000" w:rsidP="00000000" w:rsidRDefault="00000000" w:rsidRPr="00000000" w14:paraId="00000010">
      <w:pPr>
        <w:shd w:fill="ffffff" w:val="clear"/>
        <w:spacing w:after="80" w:before="80" w:line="342.85714285714283" w:lineRule="auto"/>
        <w:ind w:firstLine="380"/>
        <w:jc w:val="center"/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ПЕДАГОГИЧЕСКИЕ НАУКИ </w:t>
      </w:r>
    </w:p>
    <w:p w:rsidR="00000000" w:rsidDel="00000000" w:rsidP="00000000" w:rsidRDefault="00000000" w:rsidRPr="00000000" w14:paraId="00000011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АЛЬБИНА АЛЕКСЕЕВНА ТЕМЕРБЕКОВА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- д-р педагогических наук, профессор Горно­-Алтайского государственного университета (г. Горно-Алтайск)</w:t>
      </w:r>
    </w:p>
    <w:p w:rsidR="00000000" w:rsidDel="00000000" w:rsidP="00000000" w:rsidRDefault="00000000" w:rsidRPr="00000000" w14:paraId="00000012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ВАЛЕНТИНА СТАНИСЛАВОВНА ЧЕРНЯВСКАЯ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- д-р педагогических наук, профессор Владивостокского Госуниверситета экономики и сервиса (г. Владивосток),</w:t>
      </w:r>
    </w:p>
    <w:p w:rsidR="00000000" w:rsidDel="00000000" w:rsidP="00000000" w:rsidRDefault="00000000" w:rsidRPr="00000000" w14:paraId="00000013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ЮРИЙ ИВАНОВИЧ ЩЕРБАКОВ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- д-р педагогических наук, профессор МГГУ им. М.А. Шолохова, (г. Москва)</w:t>
      </w:r>
    </w:p>
    <w:p w:rsidR="00000000" w:rsidDel="00000000" w:rsidP="00000000" w:rsidRDefault="00000000" w:rsidRPr="00000000" w14:paraId="00000014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СЕРГЕЙ ДМИТРИЕВИЧ КАРАКОЗОВ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- д-р педагогических наук, профессор ФГБОУ ВПО Московский педагогический государственный университет, (г. Москва)</w:t>
      </w:r>
    </w:p>
    <w:p w:rsidR="00000000" w:rsidDel="00000000" w:rsidP="00000000" w:rsidRDefault="00000000" w:rsidRPr="00000000" w14:paraId="00000015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ЮННА ВАЛЕРЬЕВНА СОРОКОПУД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- д-р педагогических наук, профессор МИГУП, (г. Москва)</w:t>
      </w:r>
    </w:p>
    <w:p w:rsidR="00000000" w:rsidDel="00000000" w:rsidP="00000000" w:rsidRDefault="00000000" w:rsidRPr="00000000" w14:paraId="00000016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ВЛАДИМИР ВАСИЛЬЕВИЧ БАЗЕЛЮК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- д-р педагогических наук, профессор филиала ФГБОУ ВПО «Южно-Уральский государственный университет» (национальный исследовательский университет) в г. Озерске, ( г. Озерск)</w:t>
      </w:r>
    </w:p>
    <w:p w:rsidR="00000000" w:rsidDel="00000000" w:rsidP="00000000" w:rsidRDefault="00000000" w:rsidRPr="00000000" w14:paraId="00000017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ПАВЕЛ ИВАНОВИЧ КОСТЕНОК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- д-р педагогических наук, профессор ЮуРГИИ, (г. Челябинск)</w:t>
      </w:r>
    </w:p>
    <w:p w:rsidR="00000000" w:rsidDel="00000000" w:rsidP="00000000" w:rsidRDefault="00000000" w:rsidRPr="00000000" w14:paraId="00000018">
      <w:pPr>
        <w:shd w:fill="ffffff" w:val="clear"/>
        <w:spacing w:after="80" w:before="80" w:line="342.85714285714283" w:lineRule="auto"/>
        <w:ind w:firstLine="380"/>
        <w:jc w:val="center"/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ПСИХОЛОГИЧЕСКИЕ НАУКИ </w:t>
      </w:r>
    </w:p>
    <w:p w:rsidR="00000000" w:rsidDel="00000000" w:rsidP="00000000" w:rsidRDefault="00000000" w:rsidRPr="00000000" w14:paraId="00000019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ЛЮДМИЛА СТЕПАНОВНА КОЛМОГОРОВА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- д-р психологических наук, профессор, заведующий каф. психологии Алтайской государственной педагогической академии (г. Барнаул)</w:t>
      </w:r>
    </w:p>
    <w:p w:rsidR="00000000" w:rsidDel="00000000" w:rsidP="00000000" w:rsidRDefault="00000000" w:rsidRPr="00000000" w14:paraId="0000001A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ТАТЬЯНА ИВАНОВНА ЛУКЬЯНЕНКО - 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канд. психологических наук, доцент, зав. каф. психологии Горно-Алтайского государственного университета (г. Горно-Алтайск)</w:t>
      </w:r>
    </w:p>
    <w:p w:rsidR="00000000" w:rsidDel="00000000" w:rsidP="00000000" w:rsidRDefault="00000000" w:rsidRPr="00000000" w14:paraId="0000001B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ИОНЕСКУ СЕРБАН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- д-р психологических и медицинских наук, профессор, университет Париж8 (г. Париж, Франция)</w:t>
      </w:r>
    </w:p>
    <w:p w:rsidR="00000000" w:rsidDel="00000000" w:rsidP="00000000" w:rsidRDefault="00000000" w:rsidRPr="00000000" w14:paraId="0000001C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ВАЛЕРИЙ ВАСИЛЬЕВИЧ СОБОЛЬНИКОВ - 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д-р психологических наук, профессор (г. Новосибирск)</w:t>
      </w:r>
    </w:p>
    <w:p w:rsidR="00000000" w:rsidDel="00000000" w:rsidP="00000000" w:rsidRDefault="00000000" w:rsidRPr="00000000" w14:paraId="0000001D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НАТАЛЬЯ ЯКОВЛЕВНА БОЛЬШУНОВА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- д-р психологических наук, профессор Новосибирского государственного педагогического университета (г. Новосибирск)</w:t>
      </w:r>
    </w:p>
    <w:p w:rsidR="00000000" w:rsidDel="00000000" w:rsidP="00000000" w:rsidRDefault="00000000" w:rsidRPr="00000000" w14:paraId="0000001E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ОЛЬГА ВЕНИАМИНОВНА СУВОРОВА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- д-р психологических наук, профессор Нижегородского государственного педагогического университета им. Козьмы Минина (г. Нижний Новгород)</w:t>
      </w:r>
    </w:p>
    <w:p w:rsidR="00000000" w:rsidDel="00000000" w:rsidP="00000000" w:rsidRDefault="00000000" w:rsidRPr="00000000" w14:paraId="0000001F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МАРИЯ ГЕННАДЬЕВНА ЧУХРОВА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- д-р медицинских наук, профессор Новосибирского государственного педагогического университета (г. Новосибирск)</w:t>
      </w:r>
    </w:p>
    <w:p w:rsidR="00000000" w:rsidDel="00000000" w:rsidP="00000000" w:rsidRDefault="00000000" w:rsidRPr="00000000" w14:paraId="00000020">
      <w:pPr>
        <w:shd w:fill="ffffff" w:val="clear"/>
        <w:spacing w:after="80" w:before="80" w:line="342.85714285714283" w:lineRule="auto"/>
        <w:ind w:firstLine="380"/>
        <w:jc w:val="center"/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ФИЛОЛОГИЧЕСКИЕ НАУКИ</w:t>
      </w:r>
    </w:p>
    <w:p w:rsidR="00000000" w:rsidDel="00000000" w:rsidP="00000000" w:rsidRDefault="00000000" w:rsidRPr="00000000" w14:paraId="00000021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ЕЛЕНА ВАСИЛЬЕВНА ЛУКАШЕВИЧ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- д-р филологических наук, профессор, зав. каф. языка массовых коммуникаций и редактирования Алтайского государственного университета (г. Барнаул)</w:t>
      </w:r>
    </w:p>
    <w:p w:rsidR="00000000" w:rsidDel="00000000" w:rsidP="00000000" w:rsidRDefault="00000000" w:rsidRPr="00000000" w14:paraId="00000023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НИНА ВАЛЕРЬЕВНА ГУБИНА - 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канд. филологических наук, доцент, зав. каф. литературы, социальной психологии и педагогики Алтайской государственной академии культуры и искусств (г. Барнаул)</w:t>
      </w:r>
    </w:p>
    <w:p w:rsidR="00000000" w:rsidDel="00000000" w:rsidP="00000000" w:rsidRDefault="00000000" w:rsidRPr="00000000" w14:paraId="00000024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ДМИТРИЙ НИКОЛАЕВИЧ ЖАТКИН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- д-р филологических наук, профессор, зав. каф.</w:t>
      </w:r>
    </w:p>
    <w:p w:rsidR="00000000" w:rsidDel="00000000" w:rsidP="00000000" w:rsidRDefault="00000000" w:rsidRPr="00000000" w14:paraId="00000025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перевода и переводоведениия Пензенской государственной технологической академии (г. Пенза)</w:t>
      </w:r>
    </w:p>
    <w:p w:rsidR="00000000" w:rsidDel="00000000" w:rsidP="00000000" w:rsidRDefault="00000000" w:rsidRPr="00000000" w14:paraId="00000026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ЛАРИСА МИХАЙЛОВНА ВЛАДИМИРСКАЯ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- д-р филологических наук, профессор Алтайской</w:t>
      </w:r>
    </w:p>
    <w:p w:rsidR="00000000" w:rsidDel="00000000" w:rsidP="00000000" w:rsidRDefault="00000000" w:rsidRPr="00000000" w14:paraId="00000027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академии экономики и права (г. Барнаул)</w:t>
      </w:r>
    </w:p>
    <w:p w:rsidR="00000000" w:rsidDel="00000000" w:rsidP="00000000" w:rsidRDefault="00000000" w:rsidRPr="00000000" w14:paraId="00000028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СЕРГЕЙ АЛЬБЕРТОВИЧ ПОЛЯКОВ - 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канд. юридических наук, доцент, зав. каф. уголовного права и процесса Новосибирского государственного технического университета (г. Новосибирск)</w:t>
      </w:r>
    </w:p>
    <w:p w:rsidR="00000000" w:rsidDel="00000000" w:rsidP="00000000" w:rsidRDefault="00000000" w:rsidRPr="00000000" w14:paraId="00000029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ИГОРЬ ЮРЬЕВИЧ ОСТАПОВИЧ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- канд. юридических наук, доцент, зав. каф. теории и истории государства и права Горно­-Алтайского государственного университета (г. Горно-Алтайск)</w:t>
      </w:r>
    </w:p>
    <w:p w:rsidR="00000000" w:rsidDel="00000000" w:rsidP="00000000" w:rsidRDefault="00000000" w:rsidRPr="00000000" w14:paraId="0000002A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ЗУГУРА ИДРИСОВНА САЛЯХОВА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- д-р филологических наук, профессор Стерлитамакского филиала Башкирского государственного университета (г. Стерлитамак)</w:t>
      </w:r>
    </w:p>
    <w:p w:rsidR="00000000" w:rsidDel="00000000" w:rsidP="00000000" w:rsidRDefault="00000000" w:rsidRPr="00000000" w14:paraId="0000002B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ЕЛЕНА ВИТАЛЬЕВНА ТЕРЕНТЬЕВА - 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д-р филологических наук, профессор Волгоградского государственного университета (г. Волгоград)</w:t>
      </w:r>
    </w:p>
    <w:p w:rsidR="00000000" w:rsidDel="00000000" w:rsidP="00000000" w:rsidRDefault="00000000" w:rsidRPr="00000000" w14:paraId="0000002C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ТИМУР БЕНЬЮМИНОВИЧ РАДБИЛЬ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- д-р филологических наук, профессор Нижегородского государственного университета им. Н.И. Лобачевского (г. Нижний Новгород)</w:t>
      </w:r>
    </w:p>
    <w:p w:rsidR="00000000" w:rsidDel="00000000" w:rsidP="00000000" w:rsidRDefault="00000000" w:rsidRPr="00000000" w14:paraId="0000002D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НИКОЛАЙ ИППОЛИТОВИЧ НИКОЛАЕВ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- д-р филологических наук, профессор филиала</w:t>
      </w:r>
    </w:p>
    <w:p w:rsidR="00000000" w:rsidDel="00000000" w:rsidP="00000000" w:rsidRDefault="00000000" w:rsidRPr="00000000" w14:paraId="0000002E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Северного (Арктического) федерального университета им. М.В. Ломоносова (г. Северодвинск)</w:t>
      </w:r>
    </w:p>
    <w:p w:rsidR="00000000" w:rsidDel="00000000" w:rsidP="00000000" w:rsidRDefault="00000000" w:rsidRPr="00000000" w14:paraId="0000002F">
      <w:pPr>
        <w:shd w:fill="ffffff" w:val="clear"/>
        <w:spacing w:after="80" w:before="80" w:line="342.85714285714283" w:lineRule="auto"/>
        <w:ind w:firstLine="380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МАИДА АЛИМИРЗАЕВНА БАШИРОВА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- д-р филологических наук, профессор Дагестанского государственного педагогического университета (г. Махачкала)</w:t>
      </w:r>
    </w:p>
    <w:p w:rsidR="00000000" w:rsidDel="00000000" w:rsidP="00000000" w:rsidRDefault="00000000" w:rsidRPr="00000000" w14:paraId="00000030">
      <w:pPr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