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80" w:before="180" w:lineRule="auto"/>
        <w:jc w:val="both"/>
        <w:rPr>
          <w:rFonts w:ascii="Verdana" w:cs="Verdana" w:eastAsia="Verdana" w:hAnsi="Verdana"/>
          <w:color w:val="3a4355"/>
          <w:sz w:val="18"/>
          <w:szCs w:val="18"/>
          <w:highlight w:val="white"/>
        </w:rPr>
      </w:pPr>
      <w:r w:rsidDel="00000000" w:rsidR="00000000" w:rsidRPr="00000000">
        <w:rPr>
          <w:rFonts w:ascii="Verdana" w:cs="Verdana" w:eastAsia="Verdana" w:hAnsi="Verdana"/>
          <w:color w:val="3a4355"/>
          <w:sz w:val="18"/>
          <w:szCs w:val="18"/>
          <w:highlight w:val="white"/>
          <w:rtl w:val="0"/>
        </w:rPr>
        <w:t xml:space="preserve">НАУЧНАЯ СТАТЬЯ должна быть структурирована.</w:t>
      </w:r>
    </w:p>
    <w:p w:rsidR="00000000" w:rsidDel="00000000" w:rsidP="00000000" w:rsidRDefault="00000000" w:rsidRPr="00000000" w14:paraId="00000002">
      <w:pPr>
        <w:spacing w:after="180" w:before="180" w:lineRule="auto"/>
        <w:jc w:val="both"/>
        <w:rPr>
          <w:rFonts w:ascii="Verdana" w:cs="Verdana" w:eastAsia="Verdana" w:hAnsi="Verdana"/>
          <w:color w:val="3a4355"/>
          <w:sz w:val="18"/>
          <w:szCs w:val="18"/>
          <w:highlight w:val="white"/>
        </w:rPr>
      </w:pPr>
      <w:r w:rsidDel="00000000" w:rsidR="00000000" w:rsidRPr="00000000">
        <w:rPr>
          <w:rFonts w:ascii="Verdana" w:cs="Verdana" w:eastAsia="Verdana" w:hAnsi="Verdana"/>
          <w:i w:val="1"/>
          <w:color w:val="3a4355"/>
          <w:sz w:val="18"/>
          <w:szCs w:val="18"/>
          <w:highlight w:val="white"/>
          <w:rtl w:val="0"/>
        </w:rPr>
        <w:t xml:space="preserve">В аннотации</w:t>
      </w:r>
      <w:r w:rsidDel="00000000" w:rsidR="00000000" w:rsidRPr="00000000">
        <w:rPr>
          <w:rFonts w:ascii="Verdana" w:cs="Verdana" w:eastAsia="Verdana" w:hAnsi="Verdana"/>
          <w:color w:val="3a4355"/>
          <w:sz w:val="18"/>
          <w:szCs w:val="18"/>
          <w:highlight w:val="white"/>
          <w:rtl w:val="0"/>
        </w:rPr>
        <w:t xml:space="preserve"> необходимо сформулировать цель исследования, кратко изложить основное содержание статьи, указать ее научную новизну и полученные результаты (рекомендуемый объем – 600 печатных знаков (10-11 полных строк)).</w:t>
      </w:r>
    </w:p>
    <w:p w:rsidR="00000000" w:rsidDel="00000000" w:rsidP="00000000" w:rsidRDefault="00000000" w:rsidRPr="00000000" w14:paraId="00000003">
      <w:pPr>
        <w:spacing w:after="180" w:before="180" w:lineRule="auto"/>
        <w:jc w:val="both"/>
        <w:rPr>
          <w:rFonts w:ascii="Verdana" w:cs="Verdana" w:eastAsia="Verdana" w:hAnsi="Verdana"/>
          <w:color w:val="3a4355"/>
          <w:sz w:val="18"/>
          <w:szCs w:val="18"/>
          <w:highlight w:val="white"/>
        </w:rPr>
      </w:pPr>
      <w:r w:rsidDel="00000000" w:rsidR="00000000" w:rsidRPr="00000000">
        <w:rPr>
          <w:rFonts w:ascii="Verdana" w:cs="Verdana" w:eastAsia="Verdana" w:hAnsi="Verdana"/>
          <w:i w:val="1"/>
          <w:color w:val="3a4355"/>
          <w:sz w:val="18"/>
          <w:szCs w:val="18"/>
          <w:highlight w:val="white"/>
          <w:rtl w:val="0"/>
        </w:rPr>
        <w:t xml:space="preserve">Во введении</w:t>
      </w:r>
      <w:r w:rsidDel="00000000" w:rsidR="00000000" w:rsidRPr="00000000">
        <w:rPr>
          <w:rFonts w:ascii="Verdana" w:cs="Verdana" w:eastAsia="Verdana" w:hAnsi="Verdana"/>
          <w:color w:val="3a4355"/>
          <w:sz w:val="18"/>
          <w:szCs w:val="18"/>
          <w:highlight w:val="white"/>
          <w:rtl w:val="0"/>
        </w:rPr>
        <w:t xml:space="preserve"> – описать проблему исследования и соответственно обосновать актуальность разработки темы, указать, какие задачи необходимо решить согласно поставленной цели, обозначить методы исследования, представить его теоретическую базу (обзор литературы) и практическую значимость.</w:t>
      </w:r>
    </w:p>
    <w:p w:rsidR="00000000" w:rsidDel="00000000" w:rsidP="00000000" w:rsidRDefault="00000000" w:rsidRPr="00000000" w14:paraId="00000004">
      <w:pPr>
        <w:spacing w:after="180" w:before="180" w:lineRule="auto"/>
        <w:jc w:val="both"/>
        <w:rPr>
          <w:rFonts w:ascii="Verdana" w:cs="Verdana" w:eastAsia="Verdana" w:hAnsi="Verdana"/>
          <w:color w:val="3a4355"/>
          <w:sz w:val="18"/>
          <w:szCs w:val="18"/>
          <w:highlight w:val="white"/>
        </w:rPr>
      </w:pPr>
      <w:r w:rsidDel="00000000" w:rsidR="00000000" w:rsidRPr="00000000">
        <w:rPr>
          <w:rFonts w:ascii="Verdana" w:cs="Verdana" w:eastAsia="Verdana" w:hAnsi="Verdana"/>
          <w:i w:val="1"/>
          <w:color w:val="3a4355"/>
          <w:sz w:val="18"/>
          <w:szCs w:val="18"/>
          <w:highlight w:val="white"/>
          <w:rtl w:val="0"/>
        </w:rPr>
        <w:t xml:space="preserve">В основной части</w:t>
      </w:r>
      <w:r w:rsidDel="00000000" w:rsidR="00000000" w:rsidRPr="00000000">
        <w:rPr>
          <w:rFonts w:ascii="Verdana" w:cs="Verdana" w:eastAsia="Verdana" w:hAnsi="Verdana"/>
          <w:color w:val="3a4355"/>
          <w:sz w:val="18"/>
          <w:szCs w:val="18"/>
          <w:highlight w:val="white"/>
          <w:rtl w:val="0"/>
        </w:rPr>
        <w:t xml:space="preserve"> статьи – раскрыть методологию/технологии исследования проблемы, представить полученные результаты (желательно с оценкой их достоверности).</w:t>
      </w:r>
    </w:p>
    <w:p w:rsidR="00000000" w:rsidDel="00000000" w:rsidP="00000000" w:rsidRDefault="00000000" w:rsidRPr="00000000" w14:paraId="00000005">
      <w:pPr>
        <w:spacing w:after="180" w:before="180" w:lineRule="auto"/>
        <w:jc w:val="both"/>
        <w:rPr>
          <w:rFonts w:ascii="Verdana" w:cs="Verdana" w:eastAsia="Verdana" w:hAnsi="Verdana"/>
          <w:color w:val="3a4355"/>
          <w:sz w:val="18"/>
          <w:szCs w:val="18"/>
          <w:highlight w:val="white"/>
        </w:rPr>
      </w:pPr>
      <w:r w:rsidDel="00000000" w:rsidR="00000000" w:rsidRPr="00000000">
        <w:rPr>
          <w:rFonts w:ascii="Verdana" w:cs="Verdana" w:eastAsia="Verdana" w:hAnsi="Verdana"/>
          <w:i w:val="1"/>
          <w:color w:val="3a4355"/>
          <w:sz w:val="18"/>
          <w:szCs w:val="18"/>
          <w:highlight w:val="white"/>
          <w:rtl w:val="0"/>
        </w:rPr>
        <w:t xml:space="preserve">В заключительной части</w:t>
      </w:r>
      <w:r w:rsidDel="00000000" w:rsidR="00000000" w:rsidRPr="00000000">
        <w:rPr>
          <w:rFonts w:ascii="Verdana" w:cs="Verdana" w:eastAsia="Verdana" w:hAnsi="Verdana"/>
          <w:color w:val="3a4355"/>
          <w:sz w:val="18"/>
          <w:szCs w:val="18"/>
          <w:highlight w:val="white"/>
          <w:rtl w:val="0"/>
        </w:rPr>
        <w:t xml:space="preserve"> следует подвести итог, сформулировать выводы и определить направление дальнейших исследований.</w:t>
      </w:r>
    </w:p>
    <w:p w:rsidR="00000000" w:rsidDel="00000000" w:rsidP="00000000" w:rsidRDefault="00000000" w:rsidRPr="00000000" w14:paraId="00000006">
      <w:pPr>
        <w:spacing w:after="180" w:before="180" w:lineRule="auto"/>
        <w:jc w:val="both"/>
        <w:rPr>
          <w:rFonts w:ascii="Verdana" w:cs="Verdana" w:eastAsia="Verdana" w:hAnsi="Verdana"/>
          <w:color w:val="3a4355"/>
          <w:sz w:val="18"/>
          <w:szCs w:val="18"/>
          <w:highlight w:val="white"/>
        </w:rPr>
      </w:pPr>
      <w:r w:rsidDel="00000000" w:rsidR="00000000" w:rsidRPr="00000000">
        <w:rPr>
          <w:rFonts w:ascii="Verdana" w:cs="Verdana" w:eastAsia="Verdana" w:hAnsi="Verdana"/>
          <w:color w:val="3a4355"/>
          <w:sz w:val="18"/>
          <w:szCs w:val="18"/>
          <w:highlight w:val="white"/>
          <w:rtl w:val="0"/>
        </w:rPr>
        <w:t xml:space="preserve">В ОБЗОРНОЙ СТАТЬЕ должны быть проанализированы, сопоставлены и выявлены наиболее важные и перспективные направления развития науки (практики), ее отдельных видов деятельности, явлений, событий и пр. Материал должен носить проблемный характер, демонстрировать противоречивые взгляды на развитие научных (практических) знаний, содержать выводы, обобщения, сводные данные.</w:t>
      </w:r>
    </w:p>
    <w:p w:rsidR="00000000" w:rsidDel="00000000" w:rsidP="00000000" w:rsidRDefault="00000000" w:rsidRPr="00000000" w14:paraId="00000007">
      <w:pPr>
        <w:spacing w:after="180" w:before="180" w:lineRule="auto"/>
        <w:jc w:val="both"/>
        <w:rPr>
          <w:rFonts w:ascii="Verdana" w:cs="Verdana" w:eastAsia="Verdana" w:hAnsi="Verdana"/>
          <w:color w:val="0000ff"/>
          <w:sz w:val="18"/>
          <w:szCs w:val="18"/>
          <w:highlight w:val="white"/>
        </w:rPr>
      </w:pPr>
      <w:r w:rsidDel="00000000" w:rsidR="00000000" w:rsidRPr="00000000">
        <w:rPr>
          <w:rFonts w:ascii="Verdana" w:cs="Verdana" w:eastAsia="Verdana" w:hAnsi="Verdana"/>
          <w:color w:val="3a4355"/>
          <w:sz w:val="18"/>
          <w:szCs w:val="18"/>
          <w:highlight w:val="white"/>
          <w:rtl w:val="0"/>
        </w:rPr>
        <w:t xml:space="preserve">В НАУЧНОЙ РЕЦЕНЗИИ вначале дается краткая информация о рецензируемой работе, сопровождаемая ссылкой на нее: автор(ы), является ли работа оригиналом или переводом, ее объем, цель и задачи написания работы, ее целевая аудитория. Далее последовательно описывается основное содержание работы без ее чрезмерного цитирования или перефразирования. Заключительная часть должна содержать конструктивный критический анализ рецензируемой работы (соответствие названия содержанию, логичность структуры, стиль изложения, уместность иллюстративного материала, актуальность использованных источников, наличие полезного дополнительного материала и т.д.), ее положительную либо отрицательную характеристику. </w:t>
      </w:r>
      <w:r w:rsidDel="00000000" w:rsidR="00000000" w:rsidRPr="00000000">
        <w:rPr>
          <w:rFonts w:ascii="Verdana" w:cs="Verdana" w:eastAsia="Verdana" w:hAnsi="Verdana"/>
          <w:color w:val="0000ff"/>
          <w:sz w:val="18"/>
          <w:szCs w:val="18"/>
          <w:highlight w:val="white"/>
          <w:rtl w:val="0"/>
        </w:rPr>
        <w:t xml:space="preserve">Фразы, рекомендуемые для написания научной рецензии.</w:t>
      </w:r>
    </w:p>
    <w:p w:rsidR="00000000" w:rsidDel="00000000" w:rsidP="00000000" w:rsidRDefault="00000000" w:rsidRPr="00000000" w14:paraId="00000008">
      <w:pPr>
        <w:rPr>
          <w:color w:val="444444"/>
          <w:sz w:val="32"/>
          <w:szCs w:val="32"/>
          <w:highlight w:val="white"/>
        </w:rPr>
      </w:pPr>
      <w:r w:rsidDel="00000000" w:rsidR="00000000" w:rsidRPr="00000000">
        <w:rPr>
          <w:rtl w:val="0"/>
        </w:rPr>
      </w:r>
    </w:p>
    <w:p w:rsidR="00000000" w:rsidDel="00000000" w:rsidP="00000000" w:rsidRDefault="00000000" w:rsidRPr="00000000" w14:paraId="00000009">
      <w:pPr>
        <w:spacing w:after="180" w:before="180" w:lineRule="auto"/>
        <w:jc w:val="both"/>
        <w:rPr>
          <w:rFonts w:ascii="Verdana" w:cs="Verdana" w:eastAsia="Verdana" w:hAnsi="Verdana"/>
          <w:color w:val="3a4355"/>
          <w:sz w:val="18"/>
          <w:szCs w:val="18"/>
          <w:highlight w:val="white"/>
        </w:rPr>
      </w:pPr>
      <w:r w:rsidDel="00000000" w:rsidR="00000000" w:rsidRPr="00000000">
        <w:rPr>
          <w:rFonts w:ascii="Verdana" w:cs="Verdana" w:eastAsia="Verdana" w:hAnsi="Verdana"/>
          <w:color w:val="3a4355"/>
          <w:sz w:val="18"/>
          <w:szCs w:val="18"/>
          <w:highlight w:val="white"/>
          <w:rtl w:val="0"/>
        </w:rPr>
        <w:t xml:space="preserve">Рукопись научной статьи оформляется авторами в соответствии со следующими требованиями:</w:t>
      </w:r>
    </w:p>
    <w:p w:rsidR="00000000" w:rsidDel="00000000" w:rsidP="00000000" w:rsidRDefault="00000000" w:rsidRPr="00000000" w14:paraId="0000000A">
      <w:pPr>
        <w:numPr>
          <w:ilvl w:val="0"/>
          <w:numId w:val="1"/>
        </w:numPr>
        <w:spacing w:after="0" w:afterAutospacing="0" w:before="180" w:lineRule="auto"/>
        <w:ind w:left="720" w:hanging="360"/>
        <w:rPr>
          <w:highlight w:val="white"/>
        </w:rPr>
      </w:pPr>
      <w:r w:rsidDel="00000000" w:rsidR="00000000" w:rsidRPr="00000000">
        <w:rPr>
          <w:rFonts w:ascii="Verdana" w:cs="Verdana" w:eastAsia="Verdana" w:hAnsi="Verdana"/>
          <w:i w:val="1"/>
          <w:color w:val="3a4355"/>
          <w:sz w:val="18"/>
          <w:szCs w:val="18"/>
          <w:highlight w:val="white"/>
          <w:rtl w:val="0"/>
        </w:rPr>
        <w:t xml:space="preserve">Текстовый редактор</w:t>
      </w:r>
      <w:r w:rsidDel="00000000" w:rsidR="00000000" w:rsidRPr="00000000">
        <w:rPr>
          <w:rFonts w:ascii="Verdana" w:cs="Verdana" w:eastAsia="Verdana" w:hAnsi="Verdana"/>
          <w:color w:val="3a4355"/>
          <w:sz w:val="18"/>
          <w:szCs w:val="18"/>
          <w:highlight w:val="white"/>
          <w:rtl w:val="0"/>
        </w:rPr>
        <w:t xml:space="preserve"> – Microsoft Word.</w:t>
      </w:r>
    </w:p>
    <w:p w:rsidR="00000000" w:rsidDel="00000000" w:rsidP="00000000" w:rsidRDefault="00000000" w:rsidRPr="00000000" w14:paraId="0000000B">
      <w:pPr>
        <w:numPr>
          <w:ilvl w:val="0"/>
          <w:numId w:val="1"/>
        </w:numPr>
        <w:spacing w:after="0" w:afterAutospacing="0" w:before="0" w:beforeAutospacing="0" w:lineRule="auto"/>
        <w:ind w:left="720" w:hanging="360"/>
        <w:rPr>
          <w:highlight w:val="white"/>
        </w:rPr>
      </w:pPr>
      <w:r w:rsidDel="00000000" w:rsidR="00000000" w:rsidRPr="00000000">
        <w:rPr>
          <w:rFonts w:ascii="Verdana" w:cs="Verdana" w:eastAsia="Verdana" w:hAnsi="Verdana"/>
          <w:i w:val="1"/>
          <w:color w:val="3a4355"/>
          <w:sz w:val="18"/>
          <w:szCs w:val="18"/>
          <w:highlight w:val="white"/>
          <w:rtl w:val="0"/>
        </w:rPr>
        <w:t xml:space="preserve">Формат</w:t>
      </w:r>
      <w:r w:rsidDel="00000000" w:rsidR="00000000" w:rsidRPr="00000000">
        <w:rPr>
          <w:rFonts w:ascii="Verdana" w:cs="Verdana" w:eastAsia="Verdana" w:hAnsi="Verdana"/>
          <w:color w:val="3a4355"/>
          <w:sz w:val="18"/>
          <w:szCs w:val="18"/>
          <w:highlight w:val="white"/>
          <w:rtl w:val="0"/>
        </w:rPr>
        <w:t xml:space="preserve"> – А4.</w:t>
      </w:r>
    </w:p>
    <w:p w:rsidR="00000000" w:rsidDel="00000000" w:rsidP="00000000" w:rsidRDefault="00000000" w:rsidRPr="00000000" w14:paraId="0000000C">
      <w:pPr>
        <w:numPr>
          <w:ilvl w:val="0"/>
          <w:numId w:val="1"/>
        </w:numPr>
        <w:spacing w:after="0" w:afterAutospacing="0" w:before="0" w:beforeAutospacing="0" w:lineRule="auto"/>
        <w:ind w:left="720" w:hanging="360"/>
        <w:rPr>
          <w:highlight w:val="white"/>
        </w:rPr>
      </w:pPr>
      <w:r w:rsidDel="00000000" w:rsidR="00000000" w:rsidRPr="00000000">
        <w:rPr>
          <w:rFonts w:ascii="Verdana" w:cs="Verdana" w:eastAsia="Verdana" w:hAnsi="Verdana"/>
          <w:i w:val="1"/>
          <w:color w:val="3a4355"/>
          <w:sz w:val="18"/>
          <w:szCs w:val="18"/>
          <w:highlight w:val="white"/>
          <w:rtl w:val="0"/>
        </w:rPr>
        <w:t xml:space="preserve">Поля</w:t>
      </w:r>
      <w:r w:rsidDel="00000000" w:rsidR="00000000" w:rsidRPr="00000000">
        <w:rPr>
          <w:rFonts w:ascii="Verdana" w:cs="Verdana" w:eastAsia="Verdana" w:hAnsi="Verdana"/>
          <w:color w:val="3a4355"/>
          <w:sz w:val="18"/>
          <w:szCs w:val="18"/>
          <w:highlight w:val="white"/>
          <w:rtl w:val="0"/>
        </w:rPr>
        <w:t xml:space="preserve"> – 2 см со всех сторон.</w:t>
      </w:r>
    </w:p>
    <w:p w:rsidR="00000000" w:rsidDel="00000000" w:rsidP="00000000" w:rsidRDefault="00000000" w:rsidRPr="00000000" w14:paraId="0000000D">
      <w:pPr>
        <w:numPr>
          <w:ilvl w:val="0"/>
          <w:numId w:val="1"/>
        </w:numPr>
        <w:spacing w:after="0" w:afterAutospacing="0" w:before="0" w:beforeAutospacing="0" w:lineRule="auto"/>
        <w:ind w:left="720" w:hanging="360"/>
        <w:rPr>
          <w:highlight w:val="white"/>
        </w:rPr>
      </w:pPr>
      <w:r w:rsidDel="00000000" w:rsidR="00000000" w:rsidRPr="00000000">
        <w:rPr>
          <w:rFonts w:ascii="Verdana" w:cs="Verdana" w:eastAsia="Verdana" w:hAnsi="Verdana"/>
          <w:i w:val="1"/>
          <w:color w:val="3a4355"/>
          <w:sz w:val="18"/>
          <w:szCs w:val="18"/>
          <w:highlight w:val="white"/>
          <w:rtl w:val="0"/>
        </w:rPr>
        <w:t xml:space="preserve">Шрифт</w:t>
      </w:r>
      <w:r w:rsidDel="00000000" w:rsidR="00000000" w:rsidRPr="00000000">
        <w:rPr>
          <w:rFonts w:ascii="Verdana" w:cs="Verdana" w:eastAsia="Verdana" w:hAnsi="Verdana"/>
          <w:color w:val="3a4355"/>
          <w:sz w:val="18"/>
          <w:szCs w:val="18"/>
          <w:highlight w:val="white"/>
          <w:rtl w:val="0"/>
        </w:rPr>
        <w:t xml:space="preserve"> – Times New Roman (при необходимости – другой, если шрифт не входит в список общепринятых, его нужно прислать отдельным файлом).</w:t>
      </w:r>
    </w:p>
    <w:p w:rsidR="00000000" w:rsidDel="00000000" w:rsidP="00000000" w:rsidRDefault="00000000" w:rsidRPr="00000000" w14:paraId="0000000E">
      <w:pPr>
        <w:numPr>
          <w:ilvl w:val="0"/>
          <w:numId w:val="1"/>
        </w:numPr>
        <w:spacing w:after="0" w:afterAutospacing="0" w:before="0" w:beforeAutospacing="0" w:lineRule="auto"/>
        <w:ind w:left="720" w:hanging="360"/>
        <w:rPr>
          <w:highlight w:val="white"/>
        </w:rPr>
      </w:pPr>
      <w:r w:rsidDel="00000000" w:rsidR="00000000" w:rsidRPr="00000000">
        <w:rPr>
          <w:rFonts w:ascii="Verdana" w:cs="Verdana" w:eastAsia="Verdana" w:hAnsi="Verdana"/>
          <w:i w:val="1"/>
          <w:color w:val="3a4355"/>
          <w:sz w:val="18"/>
          <w:szCs w:val="18"/>
          <w:highlight w:val="white"/>
          <w:rtl w:val="0"/>
        </w:rPr>
        <w:t xml:space="preserve">Размер шрифта</w:t>
      </w:r>
      <w:r w:rsidDel="00000000" w:rsidR="00000000" w:rsidRPr="00000000">
        <w:rPr>
          <w:rFonts w:ascii="Verdana" w:cs="Verdana" w:eastAsia="Verdana" w:hAnsi="Verdana"/>
          <w:color w:val="3a4355"/>
          <w:sz w:val="18"/>
          <w:szCs w:val="18"/>
          <w:highlight w:val="white"/>
          <w:rtl w:val="0"/>
        </w:rPr>
        <w:t xml:space="preserve"> – 14.</w:t>
      </w:r>
    </w:p>
    <w:p w:rsidR="00000000" w:rsidDel="00000000" w:rsidP="00000000" w:rsidRDefault="00000000" w:rsidRPr="00000000" w14:paraId="0000000F">
      <w:pPr>
        <w:numPr>
          <w:ilvl w:val="0"/>
          <w:numId w:val="1"/>
        </w:numPr>
        <w:spacing w:after="0" w:afterAutospacing="0" w:before="0" w:beforeAutospacing="0" w:lineRule="auto"/>
        <w:ind w:left="720" w:hanging="360"/>
        <w:rPr>
          <w:highlight w:val="white"/>
        </w:rPr>
      </w:pPr>
      <w:r w:rsidDel="00000000" w:rsidR="00000000" w:rsidRPr="00000000">
        <w:rPr>
          <w:rFonts w:ascii="Verdana" w:cs="Verdana" w:eastAsia="Verdana" w:hAnsi="Verdana"/>
          <w:i w:val="1"/>
          <w:color w:val="3a4355"/>
          <w:sz w:val="18"/>
          <w:szCs w:val="18"/>
          <w:highlight w:val="white"/>
          <w:rtl w:val="0"/>
        </w:rPr>
        <w:t xml:space="preserve">Межстрочный интервал</w:t>
      </w:r>
      <w:r w:rsidDel="00000000" w:rsidR="00000000" w:rsidRPr="00000000">
        <w:rPr>
          <w:rFonts w:ascii="Verdana" w:cs="Verdana" w:eastAsia="Verdana" w:hAnsi="Verdana"/>
          <w:color w:val="3a4355"/>
          <w:sz w:val="18"/>
          <w:szCs w:val="18"/>
          <w:highlight w:val="white"/>
          <w:rtl w:val="0"/>
        </w:rPr>
        <w:t xml:space="preserve"> – 1,5.</w:t>
      </w:r>
    </w:p>
    <w:p w:rsidR="00000000" w:rsidDel="00000000" w:rsidP="00000000" w:rsidRDefault="00000000" w:rsidRPr="00000000" w14:paraId="00000010">
      <w:pPr>
        <w:numPr>
          <w:ilvl w:val="0"/>
          <w:numId w:val="1"/>
        </w:numPr>
        <w:spacing w:after="0" w:afterAutospacing="0" w:before="0" w:beforeAutospacing="0" w:lineRule="auto"/>
        <w:ind w:left="720" w:hanging="360"/>
        <w:rPr>
          <w:highlight w:val="white"/>
        </w:rPr>
      </w:pPr>
      <w:r w:rsidDel="00000000" w:rsidR="00000000" w:rsidRPr="00000000">
        <w:rPr>
          <w:rFonts w:ascii="Verdana" w:cs="Verdana" w:eastAsia="Verdana" w:hAnsi="Verdana"/>
          <w:i w:val="1"/>
          <w:color w:val="3a4355"/>
          <w:sz w:val="18"/>
          <w:szCs w:val="18"/>
          <w:highlight w:val="white"/>
          <w:rtl w:val="0"/>
        </w:rPr>
        <w:t xml:space="preserve">Абзацный отступ</w:t>
      </w:r>
      <w:r w:rsidDel="00000000" w:rsidR="00000000" w:rsidRPr="00000000">
        <w:rPr>
          <w:rFonts w:ascii="Verdana" w:cs="Verdana" w:eastAsia="Verdana" w:hAnsi="Verdana"/>
          <w:color w:val="3a4355"/>
          <w:sz w:val="18"/>
          <w:szCs w:val="18"/>
          <w:highlight w:val="white"/>
          <w:rtl w:val="0"/>
        </w:rPr>
        <w:t xml:space="preserve"> – 1,25.</w:t>
      </w:r>
    </w:p>
    <w:p w:rsidR="00000000" w:rsidDel="00000000" w:rsidP="00000000" w:rsidRDefault="00000000" w:rsidRPr="00000000" w14:paraId="00000011">
      <w:pPr>
        <w:numPr>
          <w:ilvl w:val="0"/>
          <w:numId w:val="1"/>
        </w:numPr>
        <w:spacing w:after="0" w:afterAutospacing="0" w:before="0" w:beforeAutospacing="0" w:lineRule="auto"/>
        <w:ind w:left="720" w:hanging="360"/>
        <w:rPr>
          <w:highlight w:val="white"/>
        </w:rPr>
      </w:pPr>
      <w:r w:rsidDel="00000000" w:rsidR="00000000" w:rsidRPr="00000000">
        <w:rPr>
          <w:rFonts w:ascii="Verdana" w:cs="Verdana" w:eastAsia="Verdana" w:hAnsi="Verdana"/>
          <w:i w:val="1"/>
          <w:color w:val="3a4355"/>
          <w:sz w:val="18"/>
          <w:szCs w:val="18"/>
          <w:highlight w:val="white"/>
          <w:rtl w:val="0"/>
        </w:rPr>
        <w:t xml:space="preserve">Ориентация</w:t>
      </w:r>
      <w:r w:rsidDel="00000000" w:rsidR="00000000" w:rsidRPr="00000000">
        <w:rPr>
          <w:rFonts w:ascii="Verdana" w:cs="Verdana" w:eastAsia="Verdana" w:hAnsi="Verdana"/>
          <w:color w:val="3a4355"/>
          <w:sz w:val="18"/>
          <w:szCs w:val="18"/>
          <w:highlight w:val="white"/>
          <w:rtl w:val="0"/>
        </w:rPr>
        <w:t xml:space="preserve"> – книжная, без простановки страниц, без переносов, без постраничных сносок.</w:t>
      </w:r>
    </w:p>
    <w:p w:rsidR="00000000" w:rsidDel="00000000" w:rsidP="00000000" w:rsidRDefault="00000000" w:rsidRPr="00000000" w14:paraId="00000012">
      <w:pPr>
        <w:numPr>
          <w:ilvl w:val="0"/>
          <w:numId w:val="1"/>
        </w:numPr>
        <w:spacing w:after="0" w:afterAutospacing="0" w:before="0" w:beforeAutospacing="0" w:lineRule="auto"/>
        <w:ind w:left="720" w:hanging="360"/>
        <w:rPr>
          <w:highlight w:val="white"/>
        </w:rPr>
      </w:pPr>
      <w:r w:rsidDel="00000000" w:rsidR="00000000" w:rsidRPr="00000000">
        <w:rPr>
          <w:rFonts w:ascii="Verdana" w:cs="Verdana" w:eastAsia="Verdana" w:hAnsi="Verdana"/>
          <w:i w:val="1"/>
          <w:color w:val="3a4355"/>
          <w:sz w:val="18"/>
          <w:szCs w:val="18"/>
          <w:highlight w:val="white"/>
          <w:rtl w:val="0"/>
        </w:rPr>
        <w:t xml:space="preserve">Редактор формул</w:t>
      </w:r>
      <w:r w:rsidDel="00000000" w:rsidR="00000000" w:rsidRPr="00000000">
        <w:rPr>
          <w:rFonts w:ascii="Verdana" w:cs="Verdana" w:eastAsia="Verdana" w:hAnsi="Verdana"/>
          <w:color w:val="3a4355"/>
          <w:sz w:val="18"/>
          <w:szCs w:val="18"/>
          <w:highlight w:val="white"/>
          <w:rtl w:val="0"/>
        </w:rPr>
        <w:t xml:space="preserve"> – пакет Microsoft Office или MathType.</w:t>
      </w:r>
    </w:p>
    <w:p w:rsidR="00000000" w:rsidDel="00000000" w:rsidP="00000000" w:rsidRDefault="00000000" w:rsidRPr="00000000" w14:paraId="00000013">
      <w:pPr>
        <w:numPr>
          <w:ilvl w:val="0"/>
          <w:numId w:val="1"/>
        </w:numPr>
        <w:spacing w:after="0" w:afterAutospacing="0" w:before="0" w:beforeAutospacing="0" w:lineRule="auto"/>
        <w:ind w:left="720" w:hanging="360"/>
        <w:rPr>
          <w:highlight w:val="white"/>
        </w:rPr>
      </w:pPr>
      <w:r w:rsidDel="00000000" w:rsidR="00000000" w:rsidRPr="00000000">
        <w:rPr>
          <w:rFonts w:ascii="Verdana" w:cs="Verdana" w:eastAsia="Verdana" w:hAnsi="Verdana"/>
          <w:i w:val="1"/>
          <w:color w:val="3a4355"/>
          <w:sz w:val="18"/>
          <w:szCs w:val="18"/>
          <w:highlight w:val="white"/>
          <w:rtl w:val="0"/>
        </w:rPr>
        <w:t xml:space="preserve">Графики, таблицы и рисунки </w:t>
      </w:r>
      <w:r w:rsidDel="00000000" w:rsidR="00000000" w:rsidRPr="00000000">
        <w:rPr>
          <w:rFonts w:ascii="Verdana" w:cs="Verdana" w:eastAsia="Verdana" w:hAnsi="Verdana"/>
          <w:color w:val="3a4355"/>
          <w:sz w:val="18"/>
          <w:szCs w:val="18"/>
          <w:highlight w:val="white"/>
          <w:rtl w:val="0"/>
        </w:rPr>
        <w:t xml:space="preserve">рекомендуются в черно-белом цвете. Редакция оставляет за собой право перемещать изображения в статье и не гарантирует точность цветопередачи цветных изображений.</w:t>
      </w:r>
    </w:p>
    <w:p w:rsidR="00000000" w:rsidDel="00000000" w:rsidP="00000000" w:rsidRDefault="00000000" w:rsidRPr="00000000" w14:paraId="00000014">
      <w:pPr>
        <w:numPr>
          <w:ilvl w:val="0"/>
          <w:numId w:val="1"/>
        </w:numPr>
        <w:spacing w:after="0" w:afterAutospacing="0" w:before="0" w:beforeAutospacing="0" w:lineRule="auto"/>
        <w:ind w:left="720" w:hanging="360"/>
        <w:rPr>
          <w:highlight w:val="white"/>
        </w:rPr>
      </w:pPr>
      <w:r w:rsidDel="00000000" w:rsidR="00000000" w:rsidRPr="00000000">
        <w:rPr>
          <w:rFonts w:ascii="Verdana" w:cs="Verdana" w:eastAsia="Verdana" w:hAnsi="Verdana"/>
          <w:i w:val="1"/>
          <w:color w:val="3a4355"/>
          <w:sz w:val="18"/>
          <w:szCs w:val="18"/>
          <w:highlight w:val="white"/>
          <w:rtl w:val="0"/>
        </w:rPr>
        <w:t xml:space="preserve">Научная специальность</w:t>
      </w:r>
      <w:r w:rsidDel="00000000" w:rsidR="00000000" w:rsidRPr="00000000">
        <w:rPr>
          <w:rFonts w:ascii="Verdana" w:cs="Verdana" w:eastAsia="Verdana" w:hAnsi="Verdana"/>
          <w:color w:val="3a4355"/>
          <w:sz w:val="18"/>
          <w:szCs w:val="18"/>
          <w:highlight w:val="white"/>
          <w:rtl w:val="0"/>
        </w:rPr>
        <w:t xml:space="preserve"> (выбрать ОДНУ(!) из списка, пройдя по ссылке для соответствующего журнала: </w:t>
      </w:r>
      <w:hyperlink r:id="rId6">
        <w:r w:rsidDel="00000000" w:rsidR="00000000" w:rsidRPr="00000000">
          <w:rPr>
            <w:rFonts w:ascii="Verdana" w:cs="Verdana" w:eastAsia="Verdana" w:hAnsi="Verdana"/>
            <w:color w:val="0000ff"/>
            <w:sz w:val="18"/>
            <w:szCs w:val="18"/>
            <w:highlight w:val="white"/>
            <w:u w:val="single"/>
            <w:rtl w:val="0"/>
          </w:rPr>
          <w:t xml:space="preserve">«Манускрипт»</w:t>
        </w:r>
      </w:hyperlink>
      <w:r w:rsidDel="00000000" w:rsidR="00000000" w:rsidRPr="00000000">
        <w:rPr>
          <w:rFonts w:ascii="Verdana" w:cs="Verdana" w:eastAsia="Verdana" w:hAnsi="Verdana"/>
          <w:color w:val="3a4355"/>
          <w:sz w:val="18"/>
          <w:szCs w:val="18"/>
          <w:highlight w:val="white"/>
          <w:rtl w:val="0"/>
        </w:rPr>
        <w:t xml:space="preserve">, </w:t>
      </w:r>
      <w:hyperlink r:id="rId7">
        <w:r w:rsidDel="00000000" w:rsidR="00000000" w:rsidRPr="00000000">
          <w:rPr>
            <w:rFonts w:ascii="Verdana" w:cs="Verdana" w:eastAsia="Verdana" w:hAnsi="Verdana"/>
            <w:color w:val="0000ff"/>
            <w:sz w:val="18"/>
            <w:szCs w:val="18"/>
            <w:highlight w:val="white"/>
            <w:u w:val="single"/>
            <w:rtl w:val="0"/>
          </w:rPr>
          <w:t xml:space="preserve">«Филологические науки. Вопросы теории и практики»</w:t>
        </w:r>
      </w:hyperlink>
      <w:r w:rsidDel="00000000" w:rsidR="00000000" w:rsidRPr="00000000">
        <w:rPr>
          <w:rFonts w:ascii="Verdana" w:cs="Verdana" w:eastAsia="Verdana" w:hAnsi="Verdana"/>
          <w:color w:val="3a4355"/>
          <w:sz w:val="18"/>
          <w:szCs w:val="18"/>
          <w:highlight w:val="white"/>
          <w:rtl w:val="0"/>
        </w:rPr>
        <w:t xml:space="preserve">, </w:t>
      </w:r>
      <w:hyperlink r:id="rId8">
        <w:r w:rsidDel="00000000" w:rsidR="00000000" w:rsidRPr="00000000">
          <w:rPr>
            <w:rFonts w:ascii="Verdana" w:cs="Verdana" w:eastAsia="Verdana" w:hAnsi="Verdana"/>
            <w:color w:val="0000ff"/>
            <w:sz w:val="18"/>
            <w:szCs w:val="18"/>
            <w:highlight w:val="white"/>
            <w:u w:val="single"/>
            <w:rtl w:val="0"/>
          </w:rPr>
          <w:t xml:space="preserve">«Педагогика. Вопросы теории и практики»</w:t>
        </w:r>
      </w:hyperlink>
      <w:r w:rsidDel="00000000" w:rsidR="00000000" w:rsidRPr="00000000">
        <w:rPr>
          <w:rFonts w:ascii="Verdana" w:cs="Verdana" w:eastAsia="Verdana" w:hAnsi="Verdana"/>
          <w:color w:val="3a4355"/>
          <w:sz w:val="18"/>
          <w:szCs w:val="18"/>
          <w:highlight w:val="white"/>
          <w:rtl w:val="0"/>
        </w:rPr>
        <w:t xml:space="preserve">).</w:t>
      </w:r>
    </w:p>
    <w:p w:rsidR="00000000" w:rsidDel="00000000" w:rsidP="00000000" w:rsidRDefault="00000000" w:rsidRPr="00000000" w14:paraId="00000015">
      <w:pPr>
        <w:numPr>
          <w:ilvl w:val="0"/>
          <w:numId w:val="1"/>
        </w:numPr>
        <w:spacing w:after="0" w:afterAutospacing="0" w:before="0" w:beforeAutospacing="0" w:lineRule="auto"/>
        <w:ind w:left="720" w:hanging="360"/>
        <w:rPr>
          <w:highlight w:val="white"/>
        </w:rPr>
      </w:pPr>
      <w:hyperlink r:id="rId9">
        <w:r w:rsidDel="00000000" w:rsidR="00000000" w:rsidRPr="00000000">
          <w:rPr>
            <w:rFonts w:ascii="Verdana" w:cs="Verdana" w:eastAsia="Verdana" w:hAnsi="Verdana"/>
            <w:i w:val="1"/>
            <w:color w:val="0000ff"/>
            <w:sz w:val="18"/>
            <w:szCs w:val="18"/>
            <w:highlight w:val="white"/>
            <w:u w:val="single"/>
            <w:rtl w:val="0"/>
          </w:rPr>
          <w:t xml:space="preserve">Краткая аннотация</w:t>
        </w:r>
      </w:hyperlink>
      <w:r w:rsidDel="00000000" w:rsidR="00000000" w:rsidRPr="00000000">
        <w:rPr>
          <w:rFonts w:ascii="Verdana" w:cs="Verdana" w:eastAsia="Verdana" w:hAnsi="Verdana"/>
          <w:color w:val="3a4355"/>
          <w:sz w:val="18"/>
          <w:szCs w:val="18"/>
          <w:highlight w:val="white"/>
          <w:rtl w:val="0"/>
        </w:rPr>
        <w:t xml:space="preserve"> статьи на русском языке (курсивом). Рекомендуемый объем – 600 печатных знаков (10-11 полных строк).</w:t>
      </w:r>
    </w:p>
    <w:p w:rsidR="00000000" w:rsidDel="00000000" w:rsidP="00000000" w:rsidRDefault="00000000" w:rsidRPr="00000000" w14:paraId="00000016">
      <w:pPr>
        <w:numPr>
          <w:ilvl w:val="0"/>
          <w:numId w:val="1"/>
        </w:numPr>
        <w:spacing w:after="0" w:afterAutospacing="0" w:before="0" w:beforeAutospacing="0" w:lineRule="auto"/>
        <w:ind w:left="720" w:hanging="360"/>
        <w:rPr>
          <w:highlight w:val="white"/>
        </w:rPr>
      </w:pPr>
      <w:r w:rsidDel="00000000" w:rsidR="00000000" w:rsidRPr="00000000">
        <w:rPr>
          <w:rFonts w:ascii="Verdana" w:cs="Verdana" w:eastAsia="Verdana" w:hAnsi="Verdana"/>
          <w:i w:val="1"/>
          <w:color w:val="3a4355"/>
          <w:sz w:val="18"/>
          <w:szCs w:val="18"/>
          <w:highlight w:val="white"/>
          <w:rtl w:val="0"/>
        </w:rPr>
        <w:t xml:space="preserve">Ключевые слова и фразы</w:t>
      </w:r>
      <w:r w:rsidDel="00000000" w:rsidR="00000000" w:rsidRPr="00000000">
        <w:rPr>
          <w:rFonts w:ascii="Verdana" w:cs="Verdana" w:eastAsia="Verdana" w:hAnsi="Verdana"/>
          <w:color w:val="3a4355"/>
          <w:sz w:val="18"/>
          <w:szCs w:val="18"/>
          <w:highlight w:val="white"/>
          <w:rtl w:val="0"/>
        </w:rPr>
        <w:t xml:space="preserve"> (не более 5-ти). Редакция оставляет за собой право изменять ключевые слова и фразы в соответствии с аннотацией и названием статьи.</w:t>
      </w:r>
    </w:p>
    <w:p w:rsidR="00000000" w:rsidDel="00000000" w:rsidP="00000000" w:rsidRDefault="00000000" w:rsidRPr="00000000" w14:paraId="00000017">
      <w:pPr>
        <w:numPr>
          <w:ilvl w:val="0"/>
          <w:numId w:val="1"/>
        </w:numPr>
        <w:spacing w:after="0" w:afterAutospacing="0" w:before="0" w:beforeAutospacing="0" w:lineRule="auto"/>
        <w:ind w:left="720" w:hanging="360"/>
        <w:rPr>
          <w:highlight w:val="white"/>
        </w:rPr>
      </w:pPr>
      <w:r w:rsidDel="00000000" w:rsidR="00000000" w:rsidRPr="00000000">
        <w:rPr>
          <w:rFonts w:ascii="Verdana" w:cs="Verdana" w:eastAsia="Verdana" w:hAnsi="Verdana"/>
          <w:i w:val="1"/>
          <w:color w:val="3a4355"/>
          <w:sz w:val="18"/>
          <w:szCs w:val="18"/>
          <w:highlight w:val="white"/>
          <w:rtl w:val="0"/>
        </w:rPr>
        <w:t xml:space="preserve">Фамилия, имя, отчество автора(ов) </w:t>
      </w:r>
      <w:r w:rsidDel="00000000" w:rsidR="00000000" w:rsidRPr="00000000">
        <w:rPr>
          <w:rFonts w:ascii="Verdana" w:cs="Verdana" w:eastAsia="Verdana" w:hAnsi="Verdana"/>
          <w:color w:val="3a4355"/>
          <w:sz w:val="18"/>
          <w:szCs w:val="18"/>
          <w:highlight w:val="white"/>
          <w:rtl w:val="0"/>
        </w:rPr>
        <w:t xml:space="preserve">на русском и английском языках (жирным шрифтом) – по левому краю, строчными буквами. Ученая степень кандидата наук в англоязычном варианте обозначается PhD, доктора наук – Dr, ученое звание в англоязычном варианте не указывается.</w:t>
      </w:r>
    </w:p>
    <w:p w:rsidR="00000000" w:rsidDel="00000000" w:rsidP="00000000" w:rsidRDefault="00000000" w:rsidRPr="00000000" w14:paraId="00000018">
      <w:pPr>
        <w:numPr>
          <w:ilvl w:val="0"/>
          <w:numId w:val="1"/>
        </w:numPr>
        <w:spacing w:after="0" w:afterAutospacing="0" w:before="0" w:beforeAutospacing="0" w:lineRule="auto"/>
        <w:ind w:left="720" w:hanging="360"/>
        <w:rPr>
          <w:highlight w:val="white"/>
        </w:rPr>
      </w:pPr>
      <w:r w:rsidDel="00000000" w:rsidR="00000000" w:rsidRPr="00000000">
        <w:rPr>
          <w:rFonts w:ascii="Verdana" w:cs="Verdana" w:eastAsia="Verdana" w:hAnsi="Verdana"/>
          <w:i w:val="1"/>
          <w:color w:val="3a4355"/>
          <w:sz w:val="18"/>
          <w:szCs w:val="18"/>
          <w:highlight w:val="white"/>
          <w:rtl w:val="0"/>
        </w:rPr>
        <w:t xml:space="preserve">Полное название представляемой организации (вуза)</w:t>
      </w:r>
      <w:r w:rsidDel="00000000" w:rsidR="00000000" w:rsidRPr="00000000">
        <w:rPr>
          <w:rFonts w:ascii="Verdana" w:cs="Verdana" w:eastAsia="Verdana" w:hAnsi="Verdana"/>
          <w:color w:val="3a4355"/>
          <w:sz w:val="18"/>
          <w:szCs w:val="18"/>
          <w:highlight w:val="white"/>
          <w:rtl w:val="0"/>
        </w:rPr>
        <w:t xml:space="preserve"> на русском и английском языках (английское название копируется с англоязычной страницы официального сайта вуза) – по левому краю, строчными буквами.</w:t>
      </w:r>
    </w:p>
    <w:p w:rsidR="00000000" w:rsidDel="00000000" w:rsidP="00000000" w:rsidRDefault="00000000" w:rsidRPr="00000000" w14:paraId="00000019">
      <w:pPr>
        <w:numPr>
          <w:ilvl w:val="0"/>
          <w:numId w:val="1"/>
        </w:numPr>
        <w:spacing w:after="0" w:afterAutospacing="0" w:before="0" w:beforeAutospacing="0" w:lineRule="auto"/>
        <w:ind w:left="720" w:hanging="360"/>
        <w:rPr>
          <w:highlight w:val="white"/>
        </w:rPr>
      </w:pPr>
      <w:r w:rsidDel="00000000" w:rsidR="00000000" w:rsidRPr="00000000">
        <w:rPr>
          <w:rFonts w:ascii="Verdana" w:cs="Verdana" w:eastAsia="Verdana" w:hAnsi="Verdana"/>
          <w:i w:val="1"/>
          <w:color w:val="3a4355"/>
          <w:sz w:val="18"/>
          <w:szCs w:val="18"/>
          <w:highlight w:val="white"/>
          <w:rtl w:val="0"/>
        </w:rPr>
        <w:t xml:space="preserve">E-mail</w:t>
      </w:r>
      <w:r w:rsidDel="00000000" w:rsidR="00000000" w:rsidRPr="00000000">
        <w:rPr>
          <w:rFonts w:ascii="Verdana" w:cs="Verdana" w:eastAsia="Verdana" w:hAnsi="Verdana"/>
          <w:color w:val="3a4355"/>
          <w:sz w:val="18"/>
          <w:szCs w:val="18"/>
          <w:highlight w:val="white"/>
          <w:rtl w:val="0"/>
        </w:rPr>
        <w:t xml:space="preserve"> (курсивом) – по левому краю, строчными буквами.</w:t>
      </w:r>
    </w:p>
    <w:p w:rsidR="00000000" w:rsidDel="00000000" w:rsidP="00000000" w:rsidRDefault="00000000" w:rsidRPr="00000000" w14:paraId="0000001A">
      <w:pPr>
        <w:numPr>
          <w:ilvl w:val="0"/>
          <w:numId w:val="1"/>
        </w:numPr>
        <w:spacing w:after="0" w:afterAutospacing="0" w:before="0" w:beforeAutospacing="0" w:lineRule="auto"/>
        <w:ind w:left="720" w:hanging="360"/>
        <w:rPr>
          <w:highlight w:val="white"/>
        </w:rPr>
      </w:pPr>
      <w:r w:rsidDel="00000000" w:rsidR="00000000" w:rsidRPr="00000000">
        <w:rPr>
          <w:rFonts w:ascii="Verdana" w:cs="Verdana" w:eastAsia="Verdana" w:hAnsi="Verdana"/>
          <w:i w:val="1"/>
          <w:color w:val="3a4355"/>
          <w:sz w:val="18"/>
          <w:szCs w:val="18"/>
          <w:highlight w:val="white"/>
          <w:rtl w:val="0"/>
        </w:rPr>
        <w:t xml:space="preserve">Название статьи</w:t>
      </w:r>
      <w:r w:rsidDel="00000000" w:rsidR="00000000" w:rsidRPr="00000000">
        <w:rPr>
          <w:rFonts w:ascii="Verdana" w:cs="Verdana" w:eastAsia="Verdana" w:hAnsi="Verdana"/>
          <w:color w:val="3a4355"/>
          <w:sz w:val="18"/>
          <w:szCs w:val="18"/>
          <w:highlight w:val="white"/>
          <w:rtl w:val="0"/>
        </w:rPr>
        <w:t xml:space="preserve"> – по центру, без отступа (жирным шрифтом).</w:t>
      </w:r>
    </w:p>
    <w:p w:rsidR="00000000" w:rsidDel="00000000" w:rsidP="00000000" w:rsidRDefault="00000000" w:rsidRPr="00000000" w14:paraId="0000001B">
      <w:pPr>
        <w:numPr>
          <w:ilvl w:val="0"/>
          <w:numId w:val="1"/>
        </w:numPr>
        <w:rPr>
          <w:highlight w:val="white"/>
        </w:rPr>
      </w:pPr>
      <w:r w:rsidDel="00000000" w:rsidR="00000000" w:rsidRPr="00000000">
        <w:rPr>
          <w:rFonts w:ascii="Verdana" w:cs="Verdana" w:eastAsia="Verdana" w:hAnsi="Verdana"/>
          <w:i w:val="1"/>
          <w:color w:val="3a4355"/>
          <w:sz w:val="18"/>
          <w:szCs w:val="18"/>
          <w:highlight w:val="white"/>
          <w:rtl w:val="0"/>
        </w:rPr>
        <w:t xml:space="preserve">Текст статьи</w:t>
      </w:r>
      <w:r w:rsidDel="00000000" w:rsidR="00000000" w:rsidRPr="00000000">
        <w:rPr>
          <w:rFonts w:ascii="Verdana" w:cs="Verdana" w:eastAsia="Verdana" w:hAnsi="Verdana"/>
          <w:color w:val="3a4355"/>
          <w:sz w:val="18"/>
          <w:szCs w:val="18"/>
          <w:highlight w:val="white"/>
          <w:rtl w:val="0"/>
        </w:rPr>
        <w:t xml:space="preserve"> – выравнивание по ширине.</w:t>
        <w:br w:type="textWrapping"/>
        <w:br w:type="textWrapping"/>
      </w:r>
    </w:p>
    <w:tbl>
      <w:tblPr>
        <w:tblStyle w:val="Table1"/>
        <w:tblW w:w="8235.0" w:type="dxa"/>
        <w:jc w:val="left"/>
        <w:tblInd w:w="160.0" w:type="pct"/>
        <w:tblBorders>
          <w:top w:color="000000" w:space="0" w:sz="7" w:val="single"/>
          <w:left w:color="000000" w:space="0" w:sz="7" w:val="single"/>
          <w:bottom w:color="000000" w:space="0" w:sz="0" w:val="nil"/>
          <w:right w:color="000000" w:space="0" w:sz="0" w:val="nil"/>
          <w:insideH w:color="000000" w:space="0" w:sz="0" w:val="nil"/>
          <w:insideV w:color="000000" w:space="0" w:sz="0" w:val="nil"/>
        </w:tblBorders>
        <w:tblLayout w:type="fixed"/>
        <w:tblLook w:val="0600"/>
      </w:tblPr>
      <w:tblGrid>
        <w:gridCol w:w="8235"/>
        <w:tblGridChange w:id="0">
          <w:tblGrid>
            <w:gridCol w:w="8235"/>
          </w:tblGrid>
        </w:tblGridChange>
      </w:tblGrid>
      <w:tr>
        <w:trPr>
          <w:trHeight w:val="13665" w:hRule="atLeast"/>
        </w:trPr>
        <w:tc>
          <w:tcPr>
            <w:tcBorders>
              <w:top w:color="000000" w:space="0" w:sz="0" w:val="nil"/>
              <w:left w:color="000000" w:space="0" w:sz="0" w:val="nil"/>
              <w:bottom w:color="000000" w:space="0" w:sz="7" w:val="single"/>
              <w:right w:color="000000" w:space="0" w:sz="7" w:val="single"/>
            </w:tcBorders>
            <w:tcMar>
              <w:top w:w="160.0" w:type="dxa"/>
              <w:left w:w="160.0" w:type="dxa"/>
              <w:bottom w:w="160.0" w:type="dxa"/>
              <w:right w:w="160.0" w:type="dxa"/>
            </w:tcMar>
            <w:vAlign w:val="center"/>
          </w:tcPr>
          <w:p w:rsidR="00000000" w:rsidDel="00000000" w:rsidP="00000000" w:rsidRDefault="00000000" w:rsidRPr="00000000" w14:paraId="0000001C">
            <w:pPr>
              <w:jc w:val="center"/>
              <w:rPr>
                <w:rFonts w:ascii="Verdana" w:cs="Verdana" w:eastAsia="Verdana" w:hAnsi="Verdana"/>
                <w:color w:val="3a4355"/>
                <w:sz w:val="18"/>
                <w:szCs w:val="18"/>
                <w:highlight w:val="white"/>
              </w:rPr>
            </w:pPr>
            <w:r w:rsidDel="00000000" w:rsidR="00000000" w:rsidRPr="00000000">
              <w:rPr>
                <w:rFonts w:ascii="Verdana" w:cs="Verdana" w:eastAsia="Verdana" w:hAnsi="Verdana"/>
                <w:color w:val="3a4355"/>
                <w:sz w:val="18"/>
                <w:szCs w:val="18"/>
                <w:highlight w:val="white"/>
                <w:rtl w:val="0"/>
              </w:rPr>
              <w:t xml:space="preserve">Образец оформления статьи</w:t>
            </w:r>
          </w:p>
          <w:p w:rsidR="00000000" w:rsidDel="00000000" w:rsidP="00000000" w:rsidRDefault="00000000" w:rsidRPr="00000000" w14:paraId="0000001D">
            <w:pPr>
              <w:rPr>
                <w:rFonts w:ascii="Verdana" w:cs="Verdana" w:eastAsia="Verdana" w:hAnsi="Verdana"/>
                <w:color w:val="3a4355"/>
                <w:sz w:val="18"/>
                <w:szCs w:val="18"/>
                <w:highlight w:val="white"/>
              </w:rPr>
            </w:pPr>
            <w:r w:rsidDel="00000000" w:rsidR="00000000" w:rsidRPr="00000000">
              <w:rPr>
                <w:rtl w:val="0"/>
              </w:rPr>
            </w:r>
          </w:p>
          <w:p w:rsidR="00000000" w:rsidDel="00000000" w:rsidP="00000000" w:rsidRDefault="00000000" w:rsidRPr="00000000" w14:paraId="0000001E">
            <w:pPr>
              <w:spacing w:after="360" w:before="360" w:lineRule="auto"/>
              <w:ind w:left="720" w:hanging="360"/>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09.00.03 История философии</w:t>
            </w:r>
          </w:p>
          <w:p w:rsidR="00000000" w:rsidDel="00000000" w:rsidP="00000000" w:rsidRDefault="00000000" w:rsidRPr="00000000" w14:paraId="0000001F">
            <w:pPr>
              <w:spacing w:after="360" w:before="360" w:lineRule="auto"/>
              <w:ind w:left="720" w:hanging="360"/>
              <w:rPr>
                <w:rFonts w:ascii="Times New Roman" w:cs="Times New Roman" w:eastAsia="Times New Roman" w:hAnsi="Times New Roman"/>
                <w:color w:val="3a4355"/>
                <w:sz w:val="18"/>
                <w:szCs w:val="18"/>
                <w:highlight w:val="white"/>
              </w:rPr>
            </w:pPr>
            <w:r w:rsidDel="00000000" w:rsidR="00000000" w:rsidRPr="00000000">
              <w:rPr>
                <w:rtl w:val="0"/>
              </w:rPr>
            </w:r>
          </w:p>
          <w:p w:rsidR="00000000" w:rsidDel="00000000" w:rsidP="00000000" w:rsidRDefault="00000000" w:rsidRPr="00000000" w14:paraId="00000020">
            <w:pPr>
              <w:spacing w:after="360" w:before="360" w:lineRule="auto"/>
              <w:ind w:left="720" w:hanging="360"/>
              <w:rPr>
                <w:rFonts w:ascii="Times New Roman" w:cs="Times New Roman" w:eastAsia="Times New Roman" w:hAnsi="Times New Roman"/>
                <w:i w:val="1"/>
                <w:color w:val="3a4355"/>
                <w:sz w:val="18"/>
                <w:szCs w:val="18"/>
                <w:highlight w:val="white"/>
              </w:rPr>
            </w:pPr>
            <w:r w:rsidDel="00000000" w:rsidR="00000000" w:rsidRPr="00000000">
              <w:rPr>
                <w:rFonts w:ascii="Times New Roman" w:cs="Times New Roman" w:eastAsia="Times New Roman" w:hAnsi="Times New Roman"/>
                <w:i w:val="1"/>
                <w:color w:val="3a4355"/>
                <w:sz w:val="18"/>
                <w:szCs w:val="18"/>
                <w:highlight w:val="white"/>
                <w:rtl w:val="0"/>
              </w:rPr>
              <w:t xml:space="preserve">Цель исследования – определить особенности и направленность философской педагогики Л. Витгенштейна. В статье проясняется роль обучающих ситуаций в философских текстах Витгенштейна, выявляется механизм действия метода концептуального анализа в описываемых им педагогических условиях, обосновывается правомерность характеристики витгенштейновского подхода как «педагогического способа философствования». Научная новизна исследования заключается в комплексном анализе философско-педагогической методологии Витгенштейна. В результате доказано, что педагогический стиль Витгенштейна приводит к изменению самосознания индивида, связан с обучением, развитием понимания и совершенствованием личности.</w:t>
            </w:r>
          </w:p>
          <w:p w:rsidR="00000000" w:rsidDel="00000000" w:rsidP="00000000" w:rsidRDefault="00000000" w:rsidRPr="00000000" w14:paraId="00000021">
            <w:pPr>
              <w:rPr>
                <w:rFonts w:ascii="Verdana" w:cs="Verdana" w:eastAsia="Verdana" w:hAnsi="Verdana"/>
                <w:sz w:val="18"/>
                <w:szCs w:val="18"/>
                <w:highlight w:val="white"/>
              </w:rPr>
            </w:pPr>
            <w:r w:rsidDel="00000000" w:rsidR="00000000" w:rsidRPr="00000000">
              <w:rPr>
                <w:rFonts w:ascii="Times New Roman" w:cs="Times New Roman" w:eastAsia="Times New Roman" w:hAnsi="Times New Roman"/>
                <w:i w:val="1"/>
                <w:color w:val="3a4355"/>
                <w:sz w:val="18"/>
                <w:szCs w:val="18"/>
                <w:highlight w:val="white"/>
                <w:rtl w:val="0"/>
              </w:rPr>
              <w:t xml:space="preserve">Ключевые слова и фразы:</w:t>
            </w:r>
            <w:r w:rsidDel="00000000" w:rsidR="00000000" w:rsidRPr="00000000">
              <w:rPr>
                <w:rFonts w:ascii="Times New Roman" w:cs="Times New Roman" w:eastAsia="Times New Roman" w:hAnsi="Times New Roman"/>
                <w:color w:val="3a4355"/>
                <w:sz w:val="18"/>
                <w:szCs w:val="18"/>
                <w:highlight w:val="white"/>
                <w:rtl w:val="0"/>
              </w:rPr>
              <w:t xml:space="preserve"> Л. Витгенштейн; философская педагогика; обучающая ситуация; метод концептуального анализа.</w:t>
              <w:br w:type="textWrapping"/>
              <w:t xml:space="preserve">Медведев Николай Владимирович, д. филос. н., проф.</w:t>
              <w:br w:type="textWrapping"/>
            </w:r>
            <w:r w:rsidDel="00000000" w:rsidR="00000000" w:rsidRPr="00000000">
              <w:rPr>
                <w:rFonts w:ascii="Times New Roman" w:cs="Times New Roman" w:eastAsia="Times New Roman" w:hAnsi="Times New Roman"/>
                <w:i w:val="1"/>
                <w:color w:val="3a4355"/>
                <w:sz w:val="18"/>
                <w:szCs w:val="18"/>
                <w:highlight w:val="white"/>
                <w:rtl w:val="0"/>
              </w:rPr>
              <w:t xml:space="preserve">Тамбовский государственный университет имени Г. Р. Державина</w:t>
              <w:br w:type="textWrapping"/>
              <w:t xml:space="preserve">адрес@gmail.com</w:t>
              <w:br w:type="textWrapping"/>
              <w:br w:type="textWrapping"/>
            </w:r>
            <w:r w:rsidDel="00000000" w:rsidR="00000000" w:rsidRPr="00000000">
              <w:rPr>
                <w:rFonts w:ascii="Times New Roman" w:cs="Times New Roman" w:eastAsia="Times New Roman" w:hAnsi="Times New Roman"/>
                <w:color w:val="3a4355"/>
                <w:sz w:val="18"/>
                <w:szCs w:val="18"/>
                <w:highlight w:val="white"/>
                <w:rtl w:val="0"/>
              </w:rPr>
              <w:t xml:space="preserve">Medvedev Nikolai Vladimirovich, </w:t>
            </w:r>
            <w:r w:rsidDel="00000000" w:rsidR="00000000" w:rsidRPr="00000000">
              <w:rPr>
                <w:rFonts w:ascii="Times New Roman" w:cs="Times New Roman" w:eastAsia="Times New Roman" w:hAnsi="Times New Roman"/>
                <w:i w:val="1"/>
                <w:color w:val="3a4355"/>
                <w:sz w:val="18"/>
                <w:szCs w:val="18"/>
                <w:highlight w:val="white"/>
                <w:rtl w:val="0"/>
              </w:rPr>
              <w:t xml:space="preserve">Dr</w:t>
              <w:br w:type="textWrapping"/>
              <w:t xml:space="preserve">Derzhavin Tambov State University</w:t>
              <w:br w:type="textWrapping"/>
              <w:t xml:space="preserve">адрес@gmail.com</w:t>
              <w:br w:type="textWrapping"/>
              <w:br w:type="textWrapping"/>
              <w:br w:type="textWrapping"/>
            </w:r>
            <w:r w:rsidDel="00000000" w:rsidR="00000000" w:rsidRPr="00000000">
              <w:rPr>
                <w:rFonts w:ascii="Times New Roman" w:cs="Times New Roman" w:eastAsia="Times New Roman" w:hAnsi="Times New Roman"/>
                <w:color w:val="3a4355"/>
                <w:sz w:val="18"/>
                <w:szCs w:val="18"/>
                <w:highlight w:val="white"/>
                <w:rtl w:val="0"/>
              </w:rPr>
              <w:t xml:space="preserve">Философская педагогика Л. Витгенштейна</w:t>
              <w:br w:type="textWrapping"/>
              <w:br w:type="textWrapping"/>
            </w:r>
            <w:r w:rsidDel="00000000" w:rsidR="00000000" w:rsidRPr="00000000">
              <w:rPr>
                <w:rFonts w:ascii="Times New Roman" w:cs="Times New Roman" w:eastAsia="Times New Roman" w:hAnsi="Times New Roman"/>
                <w:i w:val="1"/>
                <w:color w:val="3a4355"/>
                <w:sz w:val="18"/>
                <w:szCs w:val="18"/>
                <w:highlight w:val="white"/>
                <w:rtl w:val="0"/>
              </w:rPr>
              <w:t xml:space="preserve">Публикация подготовлена в рамках поддержанного РФФИ научного проекта № 19-011-00254,</w:t>
              <w:br w:type="textWrapping"/>
              <w:t xml:space="preserve">проект «Л. Витгенштейн и философия образования».</w:t>
              <w:br w:type="textWrapping"/>
              <w:t xml:space="preserve">   Актуальность</w:t>
            </w:r>
            <w:r w:rsidDel="00000000" w:rsidR="00000000" w:rsidRPr="00000000">
              <w:rPr>
                <w:rFonts w:ascii="Times New Roman" w:cs="Times New Roman" w:eastAsia="Times New Roman" w:hAnsi="Times New Roman"/>
                <w:color w:val="3a4355"/>
                <w:sz w:val="18"/>
                <w:szCs w:val="18"/>
                <w:highlight w:val="white"/>
                <w:rtl w:val="0"/>
              </w:rPr>
              <w:t xml:space="preserve"> темы исследования обусловлена значительным влиянием философии Л. Витгенштейна в современной академической среде, повышенным вниманием исследователей к его методологическим рекомендациям, доказавшим эффективность их применения в аналитической философии образования. Характерной особенностью философских заметок Л. Витгенштейна является частое обращение к обучающим ситуациям, помещение анализируемых концептуальных замешательств в педагогический контекст. Разумеется, данное обстоятельство не осталось незамеченным исследователями; некоторые из них постарались интерпретировать философские искания Витгенштейна в педагогическом ключе. Следует сказать, что специалисты по-разному оценивают роль педагогической компоненты в философских рассуждениях Л. Витгенштейна. Поэтому вопрос о значимости идей Витгенштейна для философии образования остается дискуссионным и представляет существенный интерес для теоретиков образования и педагогов-практиков.</w:t>
              <w:br w:type="textWrapping"/>
              <w:t xml:space="preserve">    Для достижения указанной цели исследования необходимо решить следующие </w:t>
            </w:r>
            <w:r w:rsidDel="00000000" w:rsidR="00000000" w:rsidRPr="00000000">
              <w:rPr>
                <w:rFonts w:ascii="Times New Roman" w:cs="Times New Roman" w:eastAsia="Times New Roman" w:hAnsi="Times New Roman"/>
                <w:i w:val="1"/>
                <w:color w:val="3a4355"/>
                <w:sz w:val="18"/>
                <w:szCs w:val="18"/>
                <w:highlight w:val="white"/>
                <w:rtl w:val="0"/>
              </w:rPr>
              <w:t xml:space="preserve">задачи</w:t>
            </w:r>
            <w:r w:rsidDel="00000000" w:rsidR="00000000" w:rsidRPr="00000000">
              <w:rPr>
                <w:rFonts w:ascii="Times New Roman" w:cs="Times New Roman" w:eastAsia="Times New Roman" w:hAnsi="Times New Roman"/>
                <w:color w:val="3a4355"/>
                <w:sz w:val="18"/>
                <w:szCs w:val="18"/>
                <w:highlight w:val="white"/>
                <w:rtl w:val="0"/>
              </w:rPr>
              <w:t xml:space="preserve">: во-первых, прояснить роль обучающих ситуаций в философских текстах Витгенштейна; во-вторых, выявить механизм действия его философского метода в описываемых им педагогических условиях, что позволит лучше понять технику «грамматического» исследования; в-третьих, обосновать правомерность отождествления подхода Витгенштейна с «педагогическим способом философствования».</w:t>
              <w:br w:type="textWrapping"/>
              <w:t xml:space="preserve">   Для осмысления идей Витгенштейна, воплощенных в его поздних сочинениях, в статье применяются следующие </w:t>
            </w:r>
            <w:r w:rsidDel="00000000" w:rsidR="00000000" w:rsidRPr="00000000">
              <w:rPr>
                <w:rFonts w:ascii="Times New Roman" w:cs="Times New Roman" w:eastAsia="Times New Roman" w:hAnsi="Times New Roman"/>
                <w:i w:val="1"/>
                <w:color w:val="3a4355"/>
                <w:sz w:val="18"/>
                <w:szCs w:val="18"/>
                <w:highlight w:val="white"/>
                <w:rtl w:val="0"/>
              </w:rPr>
              <w:t xml:space="preserve">методы исследования</w:t>
            </w:r>
            <w:r w:rsidDel="00000000" w:rsidR="00000000" w:rsidRPr="00000000">
              <w:rPr>
                <w:rFonts w:ascii="Times New Roman" w:cs="Times New Roman" w:eastAsia="Times New Roman" w:hAnsi="Times New Roman"/>
                <w:color w:val="3a4355"/>
                <w:sz w:val="18"/>
                <w:szCs w:val="18"/>
                <w:highlight w:val="white"/>
                <w:rtl w:val="0"/>
              </w:rPr>
              <w:t xml:space="preserve">: герменевтический метод и метод контент-анализа. С помощью системного подхода обеспечивается аналитическое описание философско-педагогических размышлений Витгенштейна.</w:t>
              <w:br w:type="textWrapping"/>
              <w:t xml:space="preserve">   </w:t>
            </w:r>
            <w:r w:rsidDel="00000000" w:rsidR="00000000" w:rsidRPr="00000000">
              <w:rPr>
                <w:rFonts w:ascii="Times New Roman" w:cs="Times New Roman" w:eastAsia="Times New Roman" w:hAnsi="Times New Roman"/>
                <w:i w:val="1"/>
                <w:color w:val="3a4355"/>
                <w:sz w:val="18"/>
                <w:szCs w:val="18"/>
                <w:highlight w:val="white"/>
                <w:rtl w:val="0"/>
              </w:rPr>
              <w:t xml:space="preserve">Теоретической базой</w:t>
            </w:r>
            <w:r w:rsidDel="00000000" w:rsidR="00000000" w:rsidRPr="00000000">
              <w:rPr>
                <w:rFonts w:ascii="Times New Roman" w:cs="Times New Roman" w:eastAsia="Times New Roman" w:hAnsi="Times New Roman"/>
                <w:color w:val="3a4355"/>
                <w:sz w:val="18"/>
                <w:szCs w:val="18"/>
                <w:highlight w:val="white"/>
                <w:rtl w:val="0"/>
              </w:rPr>
              <w:t xml:space="preserve"> исследования, наряду с трудами Витгенштейна, послужили публикации зарубежных авторов Дж. Медины [13], М. Питерса [14], Дж. Стикни [17], в которых рассматриваются философский метод и педагогические интенции австрийского мыслителя.</w:t>
              <w:br w:type="textWrapping"/>
              <w:t xml:space="preserve">   </w:t>
            </w:r>
            <w:r w:rsidDel="00000000" w:rsidR="00000000" w:rsidRPr="00000000">
              <w:rPr>
                <w:rFonts w:ascii="Times New Roman" w:cs="Times New Roman" w:eastAsia="Times New Roman" w:hAnsi="Times New Roman"/>
                <w:i w:val="1"/>
                <w:color w:val="3a4355"/>
                <w:sz w:val="18"/>
                <w:szCs w:val="18"/>
                <w:highlight w:val="white"/>
                <w:rtl w:val="0"/>
              </w:rPr>
              <w:t xml:space="preserve">Практическая значимость</w:t>
            </w:r>
            <w:r w:rsidDel="00000000" w:rsidR="00000000" w:rsidRPr="00000000">
              <w:rPr>
                <w:rFonts w:ascii="Times New Roman" w:cs="Times New Roman" w:eastAsia="Times New Roman" w:hAnsi="Times New Roman"/>
                <w:color w:val="3a4355"/>
                <w:sz w:val="18"/>
                <w:szCs w:val="18"/>
                <w:highlight w:val="white"/>
                <w:rtl w:val="0"/>
              </w:rPr>
              <w:t xml:space="preserve"> исследования заключается в том, что раскрываемый в статье философско-методологический потенциал наследия Витгенштейна может быть использован в педагогической деятельности для усовершенствования образовательного процесса. Это также может способствовать развитию плодотворного сотрудничества между философами и педагогами.</w:t>
              <w:br w:type="textWrapping"/>
              <w:t xml:space="preserve">                    </w:t>
              <w:tab/>
              <w:t xml:space="preserve">                                                        &lt;…&gt;</w:t>
              <w:br w:type="textWrapping"/>
              <w:t xml:space="preserve">   Таким образом, мы приходим к следующим </w:t>
            </w:r>
            <w:r w:rsidDel="00000000" w:rsidR="00000000" w:rsidRPr="00000000">
              <w:rPr>
                <w:rFonts w:ascii="Times New Roman" w:cs="Times New Roman" w:eastAsia="Times New Roman" w:hAnsi="Times New Roman"/>
                <w:i w:val="1"/>
                <w:color w:val="3a4355"/>
                <w:sz w:val="18"/>
                <w:szCs w:val="18"/>
                <w:highlight w:val="white"/>
                <w:rtl w:val="0"/>
              </w:rPr>
              <w:t xml:space="preserve">выводам</w:t>
            </w:r>
            <w:r w:rsidDel="00000000" w:rsidR="00000000" w:rsidRPr="00000000">
              <w:rPr>
                <w:rFonts w:ascii="Times New Roman" w:cs="Times New Roman" w:eastAsia="Times New Roman" w:hAnsi="Times New Roman"/>
                <w:color w:val="3a4355"/>
                <w:sz w:val="18"/>
                <w:szCs w:val="18"/>
                <w:highlight w:val="white"/>
                <w:rtl w:val="0"/>
              </w:rPr>
              <w:t xml:space="preserve">. В «грамматических» изысканиях Витгенштейна философский и педагогический контексты образуют структурное единство, поэтому его философия может быть без труда адаптирована к предмету и задачам философии образования. Философия Витгенштейна учит нас умению применять методы концептуального прояснения, которые сами по себе выглядят как педагогические инновации. Подход Витгенштейна по своей направленности является педагогическим, потому что связан с обучением, развитием знания и понимания и, в конечном итоге, с совершенствованием личности…</w:t>
            </w:r>
            <w:r w:rsidDel="00000000" w:rsidR="00000000" w:rsidRPr="00000000">
              <w:rPr>
                <w:rtl w:val="0"/>
              </w:rPr>
            </w:r>
          </w:p>
        </w:tc>
      </w:tr>
    </w:tbl>
    <w:p w:rsidR="00000000" w:rsidDel="00000000" w:rsidP="00000000" w:rsidRDefault="00000000" w:rsidRPr="00000000" w14:paraId="00000022">
      <w:pPr>
        <w:numPr>
          <w:ilvl w:val="0"/>
          <w:numId w:val="1"/>
        </w:numPr>
        <w:spacing w:after="0" w:afterAutospacing="0" w:before="180" w:lineRule="auto"/>
        <w:ind w:left="720" w:hanging="360"/>
        <w:rPr>
          <w:highlight w:val="white"/>
        </w:rPr>
      </w:pPr>
      <w:r w:rsidDel="00000000" w:rsidR="00000000" w:rsidRPr="00000000">
        <w:rPr>
          <w:rtl w:val="0"/>
        </w:rPr>
      </w:r>
    </w:p>
    <w:p w:rsidR="00000000" w:rsidDel="00000000" w:rsidP="00000000" w:rsidRDefault="00000000" w:rsidRPr="00000000" w14:paraId="00000023">
      <w:pPr>
        <w:numPr>
          <w:ilvl w:val="0"/>
          <w:numId w:val="1"/>
        </w:numPr>
        <w:spacing w:after="0" w:afterAutospacing="0" w:before="0" w:beforeAutospacing="0" w:lineRule="auto"/>
        <w:ind w:left="720" w:hanging="360"/>
        <w:rPr>
          <w:highlight w:val="white"/>
        </w:rPr>
      </w:pPr>
      <w:r w:rsidDel="00000000" w:rsidR="00000000" w:rsidRPr="00000000">
        <w:rPr>
          <w:rtl w:val="0"/>
        </w:rPr>
      </w:r>
    </w:p>
    <w:p w:rsidR="00000000" w:rsidDel="00000000" w:rsidP="00000000" w:rsidRDefault="00000000" w:rsidRPr="00000000" w14:paraId="00000024">
      <w:pPr>
        <w:numPr>
          <w:ilvl w:val="0"/>
          <w:numId w:val="1"/>
        </w:numPr>
        <w:spacing w:after="0" w:afterAutospacing="0" w:before="0" w:beforeAutospacing="0" w:lineRule="auto"/>
        <w:ind w:left="720" w:hanging="360"/>
        <w:rPr>
          <w:highlight w:val="white"/>
        </w:rPr>
      </w:pPr>
      <w:r w:rsidDel="00000000" w:rsidR="00000000" w:rsidRPr="00000000">
        <w:rPr>
          <w:rFonts w:ascii="Verdana" w:cs="Verdana" w:eastAsia="Verdana" w:hAnsi="Verdana"/>
          <w:i w:val="1"/>
          <w:color w:val="3a4355"/>
          <w:sz w:val="18"/>
          <w:szCs w:val="18"/>
          <w:highlight w:val="white"/>
          <w:rtl w:val="0"/>
        </w:rPr>
        <w:t xml:space="preserve">Фамилии и инициалы</w:t>
      </w:r>
      <w:r w:rsidDel="00000000" w:rsidR="00000000" w:rsidRPr="00000000">
        <w:rPr>
          <w:rFonts w:ascii="Verdana" w:cs="Verdana" w:eastAsia="Verdana" w:hAnsi="Verdana"/>
          <w:color w:val="3a4355"/>
          <w:sz w:val="18"/>
          <w:szCs w:val="18"/>
          <w:highlight w:val="white"/>
          <w:rtl w:val="0"/>
        </w:rPr>
        <w:t xml:space="preserve"> авторов пишутся РАЗДЕЛЬНО – М. В. Ломоносов (в статье), Петров С. Н. (в списке источников).</w:t>
      </w:r>
    </w:p>
    <w:p w:rsidR="00000000" w:rsidDel="00000000" w:rsidP="00000000" w:rsidRDefault="00000000" w:rsidRPr="00000000" w14:paraId="00000025">
      <w:pPr>
        <w:numPr>
          <w:ilvl w:val="0"/>
          <w:numId w:val="1"/>
        </w:numPr>
        <w:spacing w:after="0" w:afterAutospacing="0" w:before="0" w:beforeAutospacing="0" w:lineRule="auto"/>
        <w:ind w:left="720" w:hanging="360"/>
        <w:rPr>
          <w:highlight w:val="white"/>
        </w:rPr>
      </w:pPr>
      <w:r w:rsidDel="00000000" w:rsidR="00000000" w:rsidRPr="00000000">
        <w:rPr>
          <w:rFonts w:ascii="Verdana" w:cs="Verdana" w:eastAsia="Verdana" w:hAnsi="Verdana"/>
          <w:i w:val="1"/>
          <w:color w:val="3a4355"/>
          <w:sz w:val="18"/>
          <w:szCs w:val="18"/>
          <w:highlight w:val="white"/>
          <w:rtl w:val="0"/>
        </w:rPr>
        <w:t xml:space="preserve">Примеры на иностранном языке</w:t>
      </w:r>
      <w:r w:rsidDel="00000000" w:rsidR="00000000" w:rsidRPr="00000000">
        <w:rPr>
          <w:rFonts w:ascii="Verdana" w:cs="Verdana" w:eastAsia="Verdana" w:hAnsi="Verdana"/>
          <w:color w:val="3a4355"/>
          <w:sz w:val="18"/>
          <w:szCs w:val="18"/>
          <w:highlight w:val="white"/>
          <w:rtl w:val="0"/>
        </w:rPr>
        <w:t xml:space="preserve"> должны сопровождаться русскоязычным переводом, перевод также может быть представлен в виде краткого комментария (для больших отрывков из художественных произведений).</w:t>
      </w:r>
    </w:p>
    <w:p w:rsidR="00000000" w:rsidDel="00000000" w:rsidP="00000000" w:rsidRDefault="00000000" w:rsidRPr="00000000" w14:paraId="00000026">
      <w:pPr>
        <w:numPr>
          <w:ilvl w:val="0"/>
          <w:numId w:val="1"/>
        </w:numPr>
        <w:spacing w:after="0" w:afterAutospacing="0" w:before="0" w:beforeAutospacing="0" w:lineRule="auto"/>
        <w:ind w:left="720" w:hanging="360"/>
        <w:rPr>
          <w:highlight w:val="white"/>
        </w:rPr>
      </w:pPr>
      <w:r w:rsidDel="00000000" w:rsidR="00000000" w:rsidRPr="00000000">
        <w:rPr>
          <w:rFonts w:ascii="Verdana" w:cs="Verdana" w:eastAsia="Verdana" w:hAnsi="Verdana"/>
          <w:i w:val="1"/>
          <w:color w:val="3a4355"/>
          <w:sz w:val="18"/>
          <w:szCs w:val="18"/>
          <w:highlight w:val="white"/>
          <w:rtl w:val="0"/>
        </w:rPr>
        <w:t xml:space="preserve">Ссылки</w:t>
      </w:r>
      <w:r w:rsidDel="00000000" w:rsidR="00000000" w:rsidRPr="00000000">
        <w:rPr>
          <w:rFonts w:ascii="Verdana" w:cs="Verdana" w:eastAsia="Verdana" w:hAnsi="Verdana"/>
          <w:color w:val="3a4355"/>
          <w:sz w:val="18"/>
          <w:szCs w:val="18"/>
          <w:highlight w:val="white"/>
          <w:rtl w:val="0"/>
        </w:rPr>
        <w:t xml:space="preserve"> в тексте оформляются по следующему образцу: [1, с. 195], [3, с. 20; 7, с. 68], [4], [10, д. 143, л. 8].</w:t>
      </w:r>
    </w:p>
    <w:p w:rsidR="00000000" w:rsidDel="00000000" w:rsidP="00000000" w:rsidRDefault="00000000" w:rsidRPr="00000000" w14:paraId="00000027">
      <w:pPr>
        <w:numPr>
          <w:ilvl w:val="0"/>
          <w:numId w:val="1"/>
        </w:numPr>
        <w:rPr>
          <w:highlight w:val="white"/>
        </w:rPr>
      </w:pPr>
      <w:r w:rsidDel="00000000" w:rsidR="00000000" w:rsidRPr="00000000">
        <w:rPr>
          <w:rFonts w:ascii="Verdana" w:cs="Verdana" w:eastAsia="Verdana" w:hAnsi="Verdana"/>
          <w:i w:val="1"/>
          <w:color w:val="3a4355"/>
          <w:sz w:val="18"/>
          <w:szCs w:val="18"/>
          <w:highlight w:val="white"/>
          <w:rtl w:val="0"/>
        </w:rPr>
        <w:t xml:space="preserve">Список использованных источников</w:t>
      </w:r>
      <w:r w:rsidDel="00000000" w:rsidR="00000000" w:rsidRPr="00000000">
        <w:rPr>
          <w:rFonts w:ascii="Verdana" w:cs="Verdana" w:eastAsia="Verdana" w:hAnsi="Verdana"/>
          <w:color w:val="3a4355"/>
          <w:sz w:val="18"/>
          <w:szCs w:val="18"/>
          <w:highlight w:val="white"/>
          <w:rtl w:val="0"/>
        </w:rPr>
        <w:t xml:space="preserve">, оформленный согласно ГОСТу 7.0.5.2008, приводится в алфавитном порядке в конце статьи в виде нумерованного списка.</w:t>
        <w:br w:type="textWrapping"/>
        <w:br w:type="textWrapping"/>
      </w:r>
    </w:p>
    <w:tbl>
      <w:tblPr>
        <w:tblStyle w:val="Table2"/>
        <w:tblW w:w="8235.0" w:type="dxa"/>
        <w:jc w:val="left"/>
        <w:tblInd w:w="160.0" w:type="pct"/>
        <w:tblBorders>
          <w:top w:color="000000" w:space="0" w:sz="7" w:val="single"/>
          <w:left w:color="000000" w:space="0" w:sz="7" w:val="single"/>
          <w:bottom w:color="000000" w:space="0" w:sz="0" w:val="nil"/>
          <w:right w:color="000000" w:space="0" w:sz="0" w:val="nil"/>
          <w:insideH w:color="000000" w:space="0" w:sz="0" w:val="nil"/>
          <w:insideV w:color="000000" w:space="0" w:sz="0" w:val="nil"/>
        </w:tblBorders>
        <w:tblLayout w:type="fixed"/>
        <w:tblLook w:val="0600"/>
      </w:tblPr>
      <w:tblGrid>
        <w:gridCol w:w="8235"/>
        <w:tblGridChange w:id="0">
          <w:tblGrid>
            <w:gridCol w:w="8235"/>
          </w:tblGrid>
        </w:tblGridChange>
      </w:tblGrid>
      <w:tr>
        <w:trPr>
          <w:trHeight w:val="11640" w:hRule="atLeast"/>
        </w:trPr>
        <w:tc>
          <w:tcPr>
            <w:tcBorders>
              <w:top w:color="000000" w:space="0" w:sz="0" w:val="nil"/>
              <w:left w:color="000000" w:space="0" w:sz="0" w:val="nil"/>
              <w:bottom w:color="000000" w:space="0" w:sz="7" w:val="single"/>
              <w:right w:color="000000" w:space="0" w:sz="7" w:val="single"/>
            </w:tcBorders>
            <w:tcMar>
              <w:top w:w="160.0" w:type="dxa"/>
              <w:left w:w="160.0" w:type="dxa"/>
              <w:bottom w:w="160.0" w:type="dxa"/>
              <w:right w:w="160.0" w:type="dxa"/>
            </w:tcMar>
            <w:vAlign w:val="center"/>
          </w:tcPr>
          <w:p w:rsidR="00000000" w:rsidDel="00000000" w:rsidP="00000000" w:rsidRDefault="00000000" w:rsidRPr="00000000" w14:paraId="00000028">
            <w:pPr>
              <w:jc w:val="center"/>
              <w:rPr>
                <w:rFonts w:ascii="Verdana" w:cs="Verdana" w:eastAsia="Verdana" w:hAnsi="Verdana"/>
                <w:color w:val="3a4355"/>
                <w:sz w:val="18"/>
                <w:szCs w:val="18"/>
                <w:highlight w:val="white"/>
              </w:rPr>
            </w:pPr>
            <w:r w:rsidDel="00000000" w:rsidR="00000000" w:rsidRPr="00000000">
              <w:rPr>
                <w:rFonts w:ascii="Verdana" w:cs="Verdana" w:eastAsia="Verdana" w:hAnsi="Verdana"/>
                <w:color w:val="3a4355"/>
                <w:sz w:val="18"/>
                <w:szCs w:val="18"/>
                <w:highlight w:val="white"/>
                <w:rtl w:val="0"/>
              </w:rPr>
              <w:t xml:space="preserve">Образец оформления списка источников</w:t>
            </w:r>
          </w:p>
          <w:p w:rsidR="00000000" w:rsidDel="00000000" w:rsidP="00000000" w:rsidRDefault="00000000" w:rsidRPr="00000000" w14:paraId="00000029">
            <w:pPr>
              <w:jc w:val="center"/>
              <w:rPr>
                <w:rFonts w:ascii="Verdana" w:cs="Verdana" w:eastAsia="Verdana" w:hAnsi="Verdana"/>
                <w:color w:val="3a4355"/>
                <w:sz w:val="18"/>
                <w:szCs w:val="18"/>
                <w:highlight w:val="white"/>
              </w:rPr>
            </w:pPr>
            <w:r w:rsidDel="00000000" w:rsidR="00000000" w:rsidRPr="00000000">
              <w:rPr>
                <w:rtl w:val="0"/>
              </w:rPr>
            </w:r>
          </w:p>
          <w:p w:rsidR="00000000" w:rsidDel="00000000" w:rsidP="00000000" w:rsidRDefault="00000000" w:rsidRPr="00000000" w14:paraId="0000002A">
            <w:pPr>
              <w:jc w:val="center"/>
              <w:rPr>
                <w:rFonts w:ascii="Verdana" w:cs="Verdana" w:eastAsia="Verdana" w:hAnsi="Verdana"/>
                <w:color w:val="3a4355"/>
                <w:sz w:val="18"/>
                <w:szCs w:val="18"/>
                <w:highlight w:val="white"/>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i w:val="1"/>
                <w:color w:val="3a4355"/>
                <w:sz w:val="18"/>
                <w:szCs w:val="18"/>
                <w:highlight w:val="white"/>
              </w:rPr>
            </w:pPr>
            <w:r w:rsidDel="00000000" w:rsidR="00000000" w:rsidRPr="00000000">
              <w:rPr>
                <w:rFonts w:ascii="Times New Roman" w:cs="Times New Roman" w:eastAsia="Times New Roman" w:hAnsi="Times New Roman"/>
                <w:i w:val="1"/>
                <w:color w:val="3a4355"/>
                <w:sz w:val="18"/>
                <w:szCs w:val="18"/>
                <w:highlight w:val="white"/>
                <w:rtl w:val="0"/>
              </w:rPr>
              <w:t xml:space="preserve">Список источников</w:t>
            </w:r>
          </w:p>
          <w:p w:rsidR="00000000" w:rsidDel="00000000" w:rsidP="00000000" w:rsidRDefault="00000000" w:rsidRPr="00000000" w14:paraId="0000002C">
            <w:pPr>
              <w:rPr>
                <w:rFonts w:ascii="Verdana" w:cs="Verdana" w:eastAsia="Verdana" w:hAnsi="Verdana"/>
                <w:color w:val="3a4355"/>
                <w:sz w:val="18"/>
                <w:szCs w:val="18"/>
                <w:highlight w:val="white"/>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1. Абузярова Н. А. Проблемы обеспечения законности в трудовых отношениях (теоретический аспект): автореф. дисc. … д.ю.н. Омск, 2000. 46 с.</w:t>
            </w:r>
          </w:p>
          <w:p w:rsidR="00000000" w:rsidDel="00000000" w:rsidP="00000000" w:rsidRDefault="00000000" w:rsidRPr="00000000" w14:paraId="0000002E">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2. Агафонов А. Ю. Основы смысловой теории сознания. СПб.: Речь, 2003. 296 с.</w:t>
            </w:r>
          </w:p>
          <w:p w:rsidR="00000000" w:rsidDel="00000000" w:rsidP="00000000" w:rsidRDefault="00000000" w:rsidRPr="00000000" w14:paraId="0000002F">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3. Акты Земских соборов / отв. ред. А. Г. Маньков. М.: Юридическая литература, 1985. 511 с.</w:t>
            </w:r>
          </w:p>
          <w:p w:rsidR="00000000" w:rsidDel="00000000" w:rsidP="00000000" w:rsidRDefault="00000000" w:rsidRPr="00000000" w14:paraId="00000030">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4. Аристотель. Собрание сочинений: в 4-х т. М.: Мысль, 1984. Т. 4. 830 с.</w:t>
            </w:r>
          </w:p>
          <w:p w:rsidR="00000000" w:rsidDel="00000000" w:rsidP="00000000" w:rsidRDefault="00000000" w:rsidRPr="00000000" w14:paraId="00000031">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5. Бердяев Н. А. Философская истина и интеллигентская правда // Вехи: сборник статей о русской интеллигенции. М.: Новости, 1990. С. 5-26.</w:t>
            </w:r>
          </w:p>
          <w:p w:rsidR="00000000" w:rsidDel="00000000" w:rsidP="00000000" w:rsidRDefault="00000000" w:rsidRPr="00000000" w14:paraId="00000032">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6. Бродель Ф. Материальная цивилизация, экономика и капитализм XV-XVIII вв.: в 3-х т. / пер. с фр. Л. Е. Куббеля. М.: Прогресс, 1986. Т. 1. 623 с.</w:t>
            </w:r>
          </w:p>
          <w:p w:rsidR="00000000" w:rsidDel="00000000" w:rsidP="00000000" w:rsidRDefault="00000000" w:rsidRPr="00000000" w14:paraId="00000033">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7. Васильков Я. В. От шаманизма к йоге: что произошло в «осевой период»? [Электронный ресурс]: доклад, прочитанный 27.10.2005 г. на втором заседании научного семинара «Восток: философия, религия, культура». URL: http://east.philosophy.pu.ru (дата обращения: 25.11.2005).</w:t>
            </w:r>
          </w:p>
          <w:p w:rsidR="00000000" w:rsidDel="00000000" w:rsidP="00000000" w:rsidRDefault="00000000" w:rsidRPr="00000000" w14:paraId="00000034">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8. Концепция повышения эффективности межбюджетных отношений и качества управления государственными и муниципальными финансами в Российской Федерации в 2006-2008 годах: одобрена Распоряжением Правительства Российской Федерации № 467-р от 03.04.2006 г. // Собрание законодательства Российской Федерации (СЗРФ). 2006. № 15. Ст. 1640.</w:t>
            </w:r>
          </w:p>
          <w:p w:rsidR="00000000" w:rsidDel="00000000" w:rsidP="00000000" w:rsidRDefault="00000000" w:rsidRPr="00000000" w14:paraId="00000035">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9. Мычко Е. И. Практико-ориентированные технологии формирования коммуникативной культуры педагога: дисc. … д. пед. н. Калининград, 2002. 421 с.</w:t>
            </w:r>
          </w:p>
          <w:p w:rsidR="00000000" w:rsidDel="00000000" w:rsidP="00000000" w:rsidRDefault="00000000" w:rsidRPr="00000000" w14:paraId="00000036">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10. Национальный архив Республики Коми (НАРК). Ф. 1346. Оп. 1.</w:t>
            </w:r>
          </w:p>
          <w:p w:rsidR="00000000" w:rsidDel="00000000" w:rsidP="00000000" w:rsidRDefault="00000000" w:rsidRPr="00000000" w14:paraId="00000037">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11. НАРК. Ф. 1348. Оп. 3.</w:t>
            </w:r>
          </w:p>
          <w:p w:rsidR="00000000" w:rsidDel="00000000" w:rsidP="00000000" w:rsidRDefault="00000000" w:rsidRPr="00000000" w14:paraId="00000038">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12. О воинской обязанности и военной службе: Федеральный закон от 28.03.1998 г. № 53-ФЗ (ред. от 08.12.2011 г.) // СЗРФ. 1998. № 13. Ст. 1475.</w:t>
            </w:r>
          </w:p>
          <w:p w:rsidR="00000000" w:rsidDel="00000000" w:rsidP="00000000" w:rsidRDefault="00000000" w:rsidRPr="00000000" w14:paraId="00000039">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13. О наблюдении каждому присутственному месту за целостностью отведенных ему апартаментов дабы из пристроек отнюдь ничего утрачено не было: Постановление Сената № 12762 от 16 октября 1766 г. // Полное собрание законов Российской империи (ПСЗРИ). СПб.: Тип. II Отделения Собственной Его Императорского Величества Канцелярии, 1830. Собрание I. Т. XVIII.</w:t>
            </w:r>
          </w:p>
          <w:p w:rsidR="00000000" w:rsidDel="00000000" w:rsidP="00000000" w:rsidRDefault="00000000" w:rsidRPr="00000000" w14:paraId="0000003A">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14. О непринуждении обывателей строить квартиры для помещения драгун и солдат: Постановление Сената, в подтверждение Императорского Указа от 12 февраля 1725 г. № 4936, 19 июля 1726 г. // ПСЗРИ. СПб.: Тип. II Отделения Собственной Его Императорского Величества Канцелярии, 1830. Собрание I. Т. XVIII.</w:t>
            </w:r>
          </w:p>
          <w:p w:rsidR="00000000" w:rsidDel="00000000" w:rsidP="00000000" w:rsidRDefault="00000000" w:rsidRPr="00000000" w14:paraId="0000003B">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15. Об общеправовом классификаторе отраслей законодательства: Указ Президента РФ № 2171 от 16 декабря 1993 г. // Собрание актов Президента и Правительства РФ. 1993. № 51. Ст. 4936.</w:t>
            </w:r>
          </w:p>
          <w:p w:rsidR="00000000" w:rsidDel="00000000" w:rsidP="00000000" w:rsidRDefault="00000000" w:rsidRPr="00000000" w14:paraId="0000003C">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16. Политология: энциклопедический словарь / общ. ред. и сост. Ю. И. Аверьянов. М.: Изд-во Моск. коммерч. ун-та, 1993. 431 с.</w:t>
            </w:r>
          </w:p>
          <w:p w:rsidR="00000000" w:rsidDel="00000000" w:rsidP="00000000" w:rsidRDefault="00000000" w:rsidRPr="00000000" w14:paraId="0000003D">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17. Практическое пособие для государственных нотариусов по вопросам охраны прав граждан на наследование личной собственности [Электронный ресурс]: Письмо Минюста СССР от 21.04.1980 г. Доступ из справ.-правовой системы «КонсультантПлюс».</w:t>
            </w:r>
          </w:p>
          <w:p w:rsidR="00000000" w:rsidDel="00000000" w:rsidP="00000000" w:rsidRDefault="00000000" w:rsidRPr="00000000" w14:paraId="0000003E">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18. Региональное законодательство [Электронный ресурс]. URL: http://www.regionz.ru/ index.php?ds=671170 (дата обращения: 26.01.2011).</w:t>
            </w:r>
          </w:p>
          <w:p w:rsidR="00000000" w:rsidDel="00000000" w:rsidP="00000000" w:rsidRDefault="00000000" w:rsidRPr="00000000" w14:paraId="0000003F">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19. Семёнова В. И. Мировоззренческие истоки погребальной обрядности в культуре народов Западной Сибири в эпоху средневековья: автореф. дисс. … д. культурологии. Томск, 2006. 47 с.</w:t>
            </w:r>
          </w:p>
          <w:p w:rsidR="00000000" w:rsidDel="00000000" w:rsidP="00000000" w:rsidRDefault="00000000" w:rsidRPr="00000000" w14:paraId="00000040">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20. Хоружий С. С. Философский процесс в России как встреча философии и православия // Вопросы философии. 1991. № 5. С. 26-57.</w:t>
            </w:r>
          </w:p>
          <w:p w:rsidR="00000000" w:rsidDel="00000000" w:rsidP="00000000" w:rsidRDefault="00000000" w:rsidRPr="00000000" w14:paraId="00000041">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21. Aston E., Savona G. Theatre as Sign System: A Semiotics of Text and Performance. Routledge, 2013. 224 p.</w:t>
            </w:r>
          </w:p>
          <w:p w:rsidR="00000000" w:rsidDel="00000000" w:rsidP="00000000" w:rsidRDefault="00000000" w:rsidRPr="00000000" w14:paraId="00000042">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22. Bigsby C. W. E. A Critical Introduction to Twentieth-Century American Drama. Cambridge University Press, 1984. Vol. 2. Williams, Miller, Albee. 364 p.</w:t>
            </w:r>
          </w:p>
          <w:p w:rsidR="00000000" w:rsidDel="00000000" w:rsidP="00000000" w:rsidRDefault="00000000" w:rsidRPr="00000000" w14:paraId="00000043">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23. http://www.gramota.net/materials/3/2010/2/5.html (дата обращения: 25.02.2014).</w:t>
            </w:r>
          </w:p>
          <w:p w:rsidR="00000000" w:rsidDel="00000000" w:rsidP="00000000" w:rsidRDefault="00000000" w:rsidRPr="00000000" w14:paraId="00000044">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24. Lakoff G., Johnson M. Metaphors We Live by. Chicago: University of Chicago Press, 1980. 276 p.</w:t>
            </w:r>
          </w:p>
          <w:p w:rsidR="00000000" w:rsidDel="00000000" w:rsidP="00000000" w:rsidRDefault="00000000" w:rsidRPr="00000000" w14:paraId="00000045">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25. Longman Dictionary of Contemporary English. 4</w:t>
            </w:r>
            <w:r w:rsidDel="00000000" w:rsidR="00000000" w:rsidRPr="00000000">
              <w:rPr>
                <w:rFonts w:ascii="Times New Roman" w:cs="Times New Roman" w:eastAsia="Times New Roman" w:hAnsi="Times New Roman"/>
                <w:color w:val="3a4355"/>
                <w:sz w:val="18"/>
                <w:szCs w:val="18"/>
                <w:highlight w:val="white"/>
                <w:vertAlign w:val="superscript"/>
                <w:rtl w:val="0"/>
              </w:rPr>
              <w:t xml:space="preserve">th</w:t>
            </w:r>
            <w:r w:rsidDel="00000000" w:rsidR="00000000" w:rsidRPr="00000000">
              <w:rPr>
                <w:rFonts w:ascii="Times New Roman" w:cs="Times New Roman" w:eastAsia="Times New Roman" w:hAnsi="Times New Roman"/>
                <w:color w:val="3a4355"/>
                <w:sz w:val="18"/>
                <w:szCs w:val="18"/>
                <w:highlight w:val="white"/>
                <w:rtl w:val="0"/>
              </w:rPr>
              <w:t xml:space="preserve">, new ed. Harlow: Longman, 2003. 1949 p.</w:t>
            </w:r>
          </w:p>
          <w:p w:rsidR="00000000" w:rsidDel="00000000" w:rsidP="00000000" w:rsidRDefault="00000000" w:rsidRPr="00000000" w14:paraId="00000046">
            <w:pPr>
              <w:jc w:val="both"/>
              <w:rPr>
                <w:rFonts w:ascii="Times New Roman" w:cs="Times New Roman" w:eastAsia="Times New Roman" w:hAnsi="Times New Roman"/>
                <w:color w:val="3a4355"/>
                <w:sz w:val="18"/>
                <w:szCs w:val="18"/>
                <w:highlight w:val="white"/>
              </w:rPr>
            </w:pPr>
            <w:r w:rsidDel="00000000" w:rsidR="00000000" w:rsidRPr="00000000">
              <w:rPr>
                <w:rFonts w:ascii="Times New Roman" w:cs="Times New Roman" w:eastAsia="Times New Roman" w:hAnsi="Times New Roman"/>
                <w:color w:val="3a4355"/>
                <w:sz w:val="18"/>
                <w:szCs w:val="18"/>
                <w:highlight w:val="white"/>
                <w:rtl w:val="0"/>
              </w:rPr>
              <w:t xml:space="preserve">26. Nicolich М. 1968: Student Protest in Yugoslavia // New Politics. 1989. Vol. 2. № 3. P. 7-12.</w:t>
            </w:r>
          </w:p>
        </w:tc>
      </w:tr>
    </w:tbl>
    <w:p w:rsidR="00000000" w:rsidDel="00000000" w:rsidP="00000000" w:rsidRDefault="00000000" w:rsidRPr="00000000" w14:paraId="00000047">
      <w:pPr>
        <w:rPr>
          <w:color w:val="444444"/>
          <w:sz w:val="32"/>
          <w:szCs w:val="32"/>
          <w:highlight w:val="white"/>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color w:val="3a4355"/>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ramota.net/annotacia.html" TargetMode="External"/><Relationship Id="rId5" Type="http://schemas.openxmlformats.org/officeDocument/2006/relationships/styles" Target="styles.xml"/><Relationship Id="rId6" Type="http://schemas.openxmlformats.org/officeDocument/2006/relationships/hyperlink" Target="http://gramota.net/editions/9.html#tema" TargetMode="External"/><Relationship Id="rId7" Type="http://schemas.openxmlformats.org/officeDocument/2006/relationships/hyperlink" Target="http://gramota.net/editions/2.html#tema" TargetMode="External"/><Relationship Id="rId8" Type="http://schemas.openxmlformats.org/officeDocument/2006/relationships/hyperlink" Target="http://gramota.net/editions/4.html#t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