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Use Of A Writing Web-Site By Pre-Masters Students On An English for Academic Purposes Course.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A. J. Gillett, University of Hertfordshire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the last 10 years, use of the World-Wide-Web for educational purposes has increased dramatically.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However, very little empirical research has been carried out to determine the effectiveness of this use.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 aim of this study was therefore to investigate the effectiveness of using the World-Wide-Web on an EAP writing course.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Two groups of students were taught writing by two different methods: one group was taught by a teacher in a traditional classroom, while a second group included use of an on-line web-site in their course.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two groups were assessed in the same way after a twelve-week period of instruction.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Results of the assessment showed significant differences between the two groups, the group that used the on-line web-site performing much better on all aspects of the test.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suggests that the use of computer assisted learning programmes for at least some of the teaching time available can be recommended for EAP writing courses.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Очень важно знать о том, что переход к каждому разделу в аннотации (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moves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), должен быть введен при помощи определенных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слов-сигналов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которые позволят Вам максимально точно описать, а читателю легче воспринять Ваш текст.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Посмотрите на этот же пример аннотации и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слова-сигналы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которые использовал автор.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During the last 10 years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use of the World-Wide-Web for educational purposes has increased dramatically.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However, very little empirical research has been carried out to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determine the effectiveness of this use.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The aim of this study was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therefore to investigate the effectiveness of using the World-Wide-Web on an EAP writing course.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Two groups of students were taught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writing by two different methods: one group was taught by a teacher in a traditional classroom, while a second group included use of an on-line web-site in their course.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The two groups were assessed in the same way after a twelve-week period of instruction.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Results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of the assessment showed significant differences between the two groups, the group that used the on-line web-site performing much better on all aspects of the test.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This suggests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that the use of computer assisted learning programmes for at least some of the teaching time available can be recommended for EAP writing courses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