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ЖУРНАЛ:</w:t>
            </w:r>
          </w:p>
        </w:tc>
      </w:tr>
      <w:tr>
        <w:trPr>
          <w:trHeight w:val="1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8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МЕДИКО-БИОЛОГИЧЕСКИЕ И СОЦИАЛЬНО-ПСИХОЛОГИЧЕСКИЕ ПРОБЛЕМЫ БЕЗОПАСНОСТИ В ЧРЕЗВЫЧАЙНЫХ СИТУАЦИЯХ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Издательство: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центр экстренной и радиационной медицины им. А.М. Никифорова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(Санкт-Петербург)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ISSN: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8f"/>
                <w:sz w:val="24"/>
                <w:szCs w:val="24"/>
                <w:rtl w:val="0"/>
              </w:rPr>
              <w:t xml:space="preserve">1995-4441s ISSN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8f"/>
                <w:sz w:val="24"/>
                <w:szCs w:val="24"/>
                <w:rtl w:val="0"/>
              </w:rPr>
              <w:t xml:space="preserve">2541-7487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СЛОВА:</w:t>
            </w:r>
          </w:p>
        </w:tc>
      </w:tr>
      <w:tr>
        <w:trPr>
          <w:trHeight w:val="1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ЧРЕЗВЫЧАЙНАЯ СИТУАЦИЯ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EMERGENCY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ПОЖАР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МЧС РОССИИ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EMERCOM OF RUSSIA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РОССИЙСКИЙ ИНДЕКС НАУЧНОГО ЦИТИРОВАНИЯ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RUSSIAN SCIENCE CITATION INDEX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НАУКОВЕДЕНИЕ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 OF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INNOVATION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НАУЧНАЯ СТАТЬЯ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PAPERS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ПУБЛИКАЦИОННАЯ АКТИВНОСТЬ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ACTIVITY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НАУКОМЕТРИЧЕСКИЙ ПОКАЗАТЕЛЬ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SCIENTOMETRIC INDICATOR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АННОТАЦИЯ:</w:t>
            </w:r>
          </w:p>
        </w:tc>
      </w:tr>
      <w:tr>
        <w:trPr>
          <w:trHeight w:val="6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before="80" w:line="360" w:lineRule="auto"/>
              <w:ind w:firstLine="4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Раскрыты основные наукометрические показатели и показан алгоритм поиска научных статей в базе данных Научной электронной библиотеки. За 10 лет (2005-2014 гг.) в Российском индексе научного цитирования была проиндексирована 5701 научная журнальная статья, подготовленная сотрудниками МЧС России. Индекс Хирша массива статей составил 17. В среднем ежегодно публиковались по (570 ± 110) статей. Полиномиальный тренд при высоком коэффициенте детерминации (R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= 0,99) показывает тенденцию увеличения количества статей. 3508 статей (82,6 %) были опубликованы в журналах по Перечню ВАК Минобрнауки России, 83 статьи (1,5 %) - в журналах, индексируемых в ведущих мировых базах данных Web of Science Core Collection или Scopus. В 48 % статей изучались проблемы безопасности и деятельности аварийно-спасательных служб и пожарной безопасности, в 8 % статей - медицины и здравоохранения, в 7 % - государства и права, в 6 % - химии и химической технологии, в 4 % - народного образования. Индекс полупериода жизни статей сотрудников МЧС России (медиана хронологии цитирования / цитируемости) составлял около 5,5 лет. Отмечается низкая востребованность статей сотрудников МЧС России. В среднем 1 статья была процитирована (0,93 ± 0,14) раза. Процитированы хотя бы 1 раз 27,6 % статей, т.е. цитировалась только каждая третья-четвертая статья. Выявлены тенденции уменьшения числа цитирований и снижения количества процитированных статей. Установлено, что у сотрудников МЧС России по сравнению с авторами из Санкт-Петербургского государственного технологического университета статьи цитировались реже (р &lt; 0,001), и количество статей было процитировано статистически меньше (р &lt; 0,001). За исследуемый период в Омском государственном техническом университете издано на 1350 журнальных статей больше, чем в МЧС России. Указанные университеты опубликовали в журналах, индексируемых в Web of Science Core Collection или Scopus, в 12,3 и 6,9 раза больше статей, чем авторы из МЧС России. МЧС России обладает высоким научно-педагогическим потенциалом. Необходимо провести более углубленное исследование. Показаны пути повышения научной значимости статей и интеграции их в международные базы данных.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ЖУРНАЛ:</w:t>
            </w:r>
          </w:p>
        </w:tc>
      </w:tr>
      <w:tr>
        <w:trPr>
          <w:trHeight w:val="11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8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ВЕДОМОСТИ НАУЧНОГО ЦЕНТРА ЭКСПЕРТИЗЫ СРЕДСТВ МЕДИЦИНСКОГО ПРИМЕНЕНИЯ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Издательство: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"Научный центр экспертизы средств медицинского применения" Министерства здравоохранения Российской Федерации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(Москва)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ISSN: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8f"/>
                <w:sz w:val="24"/>
                <w:szCs w:val="24"/>
                <w:rtl w:val="0"/>
              </w:rPr>
              <w:t xml:space="preserve">1991-2919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eISSN: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8f"/>
                <w:sz w:val="24"/>
                <w:szCs w:val="24"/>
                <w:rtl w:val="0"/>
              </w:rPr>
              <w:t xml:space="preserve">2619-1172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СЛОВА:</w:t>
            </w:r>
          </w:p>
        </w:tc>
      </w:tr>
      <w:tr>
        <w:trPr>
          <w:trHeight w:val="11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ГОСУДАРСТВЕННАЯ ФАРМАКОПЕЯ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PHARMACOPOEIA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ФАРМАКОПЕЙНАЯ СТАТЬЯ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MONOGRAPH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ФАРМАКОПЕЙНАЯ СТАТЬЯ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PHARMACOPOEIAL MONOGRAPH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КАЧЕСТВО ЛЕКАРСТВЕННЫХ СРЕДСТВ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DRUG QUALITY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ФАРМАКОПЕЙНЫЙ АНАЛИЗ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PHARMACOPOEIAL ANALYSIS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АННОТАЦИЯ: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80" w:line="360" w:lineRule="auto"/>
              <w:ind w:firstLine="4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Государственная фармакопея Российской Федерации представляет собой свод общих фармакопейных статей и фармакопейных статей и подлежит переизданию не реже І раза в 5 лет. Очередное издание Государственной фармакопеи Российской Федерации, планируемое к выходу в свет в 2015 году, будет включать как впервые разработанные в практике отечественного, а в ряде случаев и мирового фармакопейного анализа общие фармакопейные статьи и фармакопейные статьи, так и статьи, представляющие собой обновленные и пересмотренные варианты общих фармакопейных статей и фармакопейных статей. Введение в действие общих фармакопейных статей и фармакопейных статей этого издания Государственной фармакопеи Российской Федерации позволит существенно повысить уровень отечественного фармакопейного анализа и обеспечит его соответствие требованиям мировых стандартов.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ЖУРНАЛ: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8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ОБРАЗОВАТЕЛЬНЫЕ РЕСУРСЫ И ТЕХНОЛОГИИ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Издательство: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8f"/>
                  <w:sz w:val="24"/>
                  <w:szCs w:val="24"/>
                  <w:rtl w:val="0"/>
                </w:rPr>
                <w:t xml:space="preserve">Московский университет им. С.Ю. Витте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(Москва)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eISSN: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8f"/>
                <w:sz w:val="24"/>
                <w:szCs w:val="24"/>
                <w:rtl w:val="0"/>
              </w:rPr>
              <w:t xml:space="preserve">2312-5500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КЛЮЧЕВЫЕ СЛОВА:</w:t>
            </w:r>
          </w:p>
        </w:tc>
      </w:tr>
      <w:tr>
        <w:trPr>
          <w:trHeight w:val="13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КОСМИЧЕСКИЕ ИССЛЕДОВАНИЯ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REMOTE RESEARCH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ДИСТАНЦИОННЫЕ ИССЛЕДОВАНИЯ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ПРИКЛАДНАЯ ГЕОИНФОРМАТИКА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APPLIED GEOINFORMATICS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МОДЕЛИРОВАНИЕ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SIMULATION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ПРОСТРАНСТВЕННЫЕ МОДЕЛИ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SPATIAL MODELS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СТРАТИФИКАЦИЯ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STRATIFICATION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ВИЗУАЛИЗАЦИЯ ИНФОРМАЦИИ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INFORMATION VISUALIZATION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5"/>
        <w:gridCol w:w="7865"/>
        <w:tblGridChange w:id="0">
          <w:tblGrid>
            <w:gridCol w:w="785"/>
            <w:gridCol w:w="7865"/>
          </w:tblGrid>
        </w:tblGridChange>
      </w:tblGrid>
      <w:tr>
        <w:trPr>
          <w:trHeight w:val="47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АННОТАЦИЯ:</w:t>
            </w:r>
          </w:p>
        </w:tc>
      </w:tr>
      <w:tr>
        <w:trPr>
          <w:trHeight w:val="22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before="80" w:line="360" w:lineRule="auto"/>
              <w:ind w:firstLine="4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описывает модели, применяемые при дистанционных исследованиях. Статья показывает системность окружающего мира. Статья раскрывает значение информационных полей в космических исследованиях. Статья дает систематику моделей применяемых в космических исследованиях. Статья описывает требования к моделям, применяемым при дистанционных исследованиях. Статья раскрывает содержание важных свойств моделей таких как: интерпретируемость, структурность, отражение, следование. Статья раскрывает технологию стратификации модели. Статья описывает визуальное моделирование как обязательный компонент при космических и дистанционных исследованиях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5f5f5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library.ru/publisher_titles.asp?publishid=97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