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" w:before="120" w:line="335.99999999999994" w:lineRule="auto"/>
        <w:ind w:right="160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Объем статьи,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включая аннотацию и список литературы, должен быть оправдан содержанием работы и находиться в пределах от 0,5 до 1 п. л. (от 20 до 40 тыс. печатных знаков с пробелами). Вопрос о публикации статей большего размера решается по согласованию с редакционной коллегией Журнала.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" w:before="120" w:line="335.99999999999994" w:lineRule="auto"/>
        <w:ind w:right="160"/>
        <w:jc w:val="both"/>
        <w:rPr>
          <w:b w:val="1"/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Статью должна предварять следующая информация:</w:t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индекс УДК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(Универсальной десятичной классификации). Индекс можно получить в библиотеке МГОУ или самостоятельно определить на сайте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http://teacode.com/online/udc/</w:t>
        </w:r>
      </w:hyperlink>
      <w:r w:rsidDel="00000000" w:rsidR="00000000" w:rsidRPr="00000000">
        <w:rPr>
          <w:color w:val="111111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4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фамилия и инициалы автора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на русском и имя и фамилию автора на английском языках;</w:t>
      </w:r>
    </w:p>
    <w:p w:rsidR="00000000" w:rsidDel="00000000" w:rsidP="00000000" w:rsidRDefault="00000000" w:rsidRPr="00000000" w14:paraId="00000005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наименование организации, где проводилось исследование, 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с указанием индекса и юридического адреса на русском и английском языках;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название статьи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на русском и английском языках (строчными буквами);</w:t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аннотация 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на русском и английском языках (700–1000 знаков с пробелами) с подзаголовком «Аннотация» (на английском языке:  «Abstract») 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См. правила написания аннотации</w:t>
        </w:r>
      </w:hyperlink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0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ключевые слова 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на русском и английском языках (5–7 слов) под заголовком «Ключевые слова» (на английском языке:   «Keywords»);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информация о финансировании, грантовой поддержке и т. п. 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(при наличии).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" w:before="120" w:line="335.99999999999994" w:lineRule="auto"/>
        <w:ind w:right="160"/>
        <w:jc w:val="both"/>
        <w:rPr>
          <w:b w:val="1"/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Текст статьи должен либо соответствовать структуре IMRAD, либо включать следующие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 структурные элементы: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введение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: постановка научной проблемы, анализ научной литературы, формулировка цели и/или задач исследования, информация об применённых методах исследования;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результаты оригинального авторского исследования(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с выделением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2–3 подзаголовков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): качественный или количественный анализ первичных эмпирических и обработка вторичных данных, историческое исследование, анализ эволюции научных взглядов по выбранной теме и т. п.). Рекомендуется использовать визуальное представление полученных данных (графики, диаграммы, рисунки и пр.);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заключение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: оригинальные авторские выводы, соответствующие целям и задачам исследования; информация о решении научной проблемы, возможном применении результатов исследования и т. п.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" w:before="120" w:line="335.99999999999994" w:lineRule="auto"/>
        <w:ind w:right="160"/>
        <w:jc w:val="both"/>
        <w:rPr>
          <w:b w:val="1"/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Статья 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должна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содержать библиографические ссылки и список используемой литературы.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" w:before="120" w:line="335.99999999999994" w:lineRule="auto"/>
        <w:ind w:right="160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Внутритекстовые ссылки на научную литературу 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приводятся в квадратных скобках, где указывается порядковый номер использованной работы в списке литературы и страница (диапазон страниц) содержащая цитируемый текст – [18, с. 65]. Если ссылка включает несколько использованных работ, то внутри квадратных скобок они разделяются точкой с запятой: [4, с. 20; 5, с. 123–127].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" w:before="120" w:line="335.99999999999994" w:lineRule="auto"/>
        <w:ind w:right="160"/>
        <w:jc w:val="both"/>
        <w:rPr>
          <w:b w:val="1"/>
          <w:color w:val="1155cc"/>
          <w:sz w:val="20"/>
          <w:szCs w:val="20"/>
          <w:u w:val="single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Библиографическое описание использованных автором научных работ 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помещается после текста статьи под общим подзаголовком «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Литература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». Работы в списке литературы должны быть размещены в алфавитном порядке (сначала на русском языке, затем – на иностранном). Описание литературы на русском языке приводится в соответствии с  ГОСТ Р 7.0.5.–2008; на иностранных языках – в Гарвардском стиле. Рекомендуется включать в список литературы от 7 до 30 научных статей и/или монографий разных авторов на русском и/или иностранном языках, изданных за последние пять лет. </w:t>
      </w:r>
      <w:hyperlink r:id="rId8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Правила оформления списка литературы.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" w:before="120" w:line="335.99999999999994" w:lineRule="auto"/>
        <w:ind w:right="160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Ссылки на источники информации, не являющиеся научным работами (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указания на архивы, материалы коллекций и частных собраний, интернет-ресурсы, нормативные акты и документы, статистические и социологические данные, художественные и публицистические произведения и иные источники, а также авторские примечания и комментарии), 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оформляются как постраничные сноски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. Такие ссылки помещаются внизу страницы и создаются в режиме: Вставка – Ссылка – Сноска (в последних версиях текстового редактора: Ссылки – Вставить сноску)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" w:before="120" w:line="335.99999999999994" w:lineRule="auto"/>
        <w:ind w:right="160"/>
        <w:jc w:val="both"/>
        <w:rPr>
          <w:color w:val="111111"/>
          <w:sz w:val="20"/>
          <w:szCs w:val="20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Статья должна быть выполнена в формате 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Microsoft Word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с расширением doc или rtf: шрифт Times New Roman, кегль 14, поля 2,5 см со всех сторон, интервал полуторный. Уплотнение интервалов запрещено.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7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0" w:before="120" w:line="335.99999999999994" w:lineRule="auto"/>
        <w:ind w:right="160"/>
        <w:jc w:val="both"/>
        <w:rPr>
          <w:color w:val="111111"/>
          <w:sz w:val="20"/>
          <w:szCs w:val="20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Графический материал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должен быть оформлен по следующим правилам: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графический объект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 не должен превышать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размеры страницы, а шрифт в нём должен быть не менее 12 пунктов;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таблицы или рисунки должны быть 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вертикальными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;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таблицы, рисунки и т. п. должны быть 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пронумерованы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и иметь 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названия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на русском и английском языках;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afterAutospacing="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color w:val="111111"/>
          <w:sz w:val="20"/>
          <w:szCs w:val="20"/>
          <w:rtl w:val="0"/>
        </w:rPr>
        <w:t xml:space="preserve">под таблицей или графическим материалом </w:t>
      </w: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указывается источник заимствования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. Оригинальные таблицы, графики и рисунки снабжаются надписью: «Источник: данные автора(авторов)» или «Составлено автором по…»;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160" w:line="335.99999999999994" w:lineRule="auto"/>
        <w:ind w:left="1180" w:hanging="360"/>
        <w:rPr>
          <w:color w:val="111111"/>
        </w:rPr>
      </w:pPr>
      <w:r w:rsidDel="00000000" w:rsidR="00000000" w:rsidRPr="00000000">
        <w:rPr>
          <w:b w:val="1"/>
          <w:color w:val="111111"/>
          <w:sz w:val="20"/>
          <w:szCs w:val="20"/>
          <w:rtl w:val="0"/>
        </w:rPr>
        <w:t xml:space="preserve">формулы</w:t>
      </w:r>
      <w:r w:rsidDel="00000000" w:rsidR="00000000" w:rsidRPr="00000000">
        <w:rPr>
          <w:color w:val="111111"/>
          <w:sz w:val="20"/>
          <w:szCs w:val="20"/>
          <w:rtl w:val="0"/>
        </w:rPr>
        <w:t xml:space="preserve"> должны быть созданы с использованием компонента Microsoft Equation или быть представлены в виде чётких картинок.</w:t>
      </w:r>
    </w:p>
    <w:p w:rsidR="00000000" w:rsidDel="00000000" w:rsidP="00000000" w:rsidRDefault="00000000" w:rsidRPr="00000000" w14:paraId="00000019">
      <w:pPr>
        <w:rPr>
          <w:color w:val="666666"/>
          <w:sz w:val="26"/>
          <w:szCs w:val="26"/>
        </w:rPr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teacode.com/online/udc/" TargetMode="External"/><Relationship Id="rId7" Type="http://schemas.openxmlformats.org/officeDocument/2006/relationships/hyperlink" Target="https://evestnik-mgou.ru/Files/Materials/files/Files/pravila_sost_annot.doc" TargetMode="External"/><Relationship Id="rId8" Type="http://schemas.openxmlformats.org/officeDocument/2006/relationships/hyperlink" Target="https://evestnik-mgou.ru/doc/samples/bibl_spiski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