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от 8 до 16 страниц формата А4. Если Ваша статья больше, рекомендуется разбить ее на несколько статей.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 редакторе Microsoft Office Word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шрифт «Times New Roman”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основной текст – кегль 14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интервал 1,5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все поля –2 см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отступ (абзац) –1 см.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выравнивание по ширине.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фамилия и инициалы автора (жирным шрифтом, выравнивание по правому краю);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сведения об авторе (ученое звание без сокращений, ученая степень без сокращений, место работы / 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название статьи (заглавными буквами, жирным шрифтом, выравнивание по центру);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аннотация от 150 до 250 слов (описание целей и задач проведенного исследования, а также возможности его практического применения, после списка литературы), выравнивание по ширине;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ключевые слова (6-9 слов), выравнивание по ширине;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основной текст статьи, выравнивание по ширине;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литература (материал должен быть снабжен как минимум одним источником). Список литературы оформляется строго по ГОСТ Р 7.0.5-2008, выравнивание по ширине;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если литературные источники на русском языке, сделать дополнительный список references на транслите (например: http://translit.net/), выравнивание по ширине;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фамилия и инициалы автора на английском языке (жирным шрифтом, выравнивание по правому краю);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сведения об авторе на английском языке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название статьи на английском языке (заглавными буквами, жирным шрифтом, выравнивание по ширине);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аннотация на английском языке от 150 до 250 слов (описание целей и задач проведенного исследования, а также возможности его практического применения, выравнивание по ширине);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ключевые слова на английском (6-9 слов), выравнивание по ширине.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4. Если материал снабжен формулами, они должны быть оформлены при помощи средств Microsoft Word 2003, 2007 для вставки формул либо программой MathType.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505050"/>
          <w:sz w:val="23"/>
          <w:szCs w:val="23"/>
        </w:rPr>
      </w:pPr>
      <w:r w:rsidDel="00000000" w:rsidR="00000000" w:rsidRPr="00000000">
        <w:rPr>
          <w:color w:val="505050"/>
          <w:sz w:val="23"/>
          <w:szCs w:val="23"/>
          <w:rtl w:val="0"/>
        </w:rPr>
        <w:t xml:space="preserve">5. Редколлегия оставляет за собой право исправлять грубые ошибки и неточности. Перед отправкой текста статьи в издательство, 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000000" w:rsidDel="00000000" w:rsidP="00000000" w:rsidRDefault="00000000" w:rsidRPr="00000000" w14:paraId="0000001B">
      <w:pPr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0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