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Статьи принимаются к рассмотрению c оригинальностью не менее 70% 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и будут опубликованы в журнале при соблюдении следующих требований: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Статья должна быть выполнена в  формате А4, сохранение предпочтительно выполнять в формате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doc.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Рекомендуемый объем материала должен составлять от 4 до 30 машинописных страниц.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Текст выполняется в текстовом редакторе Microsoft Word (версия 1997–2007):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размеры полей: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все по 2 см;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шрифт статьи: Times New Roman,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размер – 14;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межстрочный интервал: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 полуторный (1,5);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720" w:lineRule="auto"/>
        <w:ind w:left="10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выравнивание текста по ширине.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3. Порядок расположения (структура) текста: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60" w:hanging="360"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УДК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 (по левому краю) см., например, http://teacode.com/online/udc;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название статьи (заглавными буквами, жирным шрифтом, по центру);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фамилия и инициалы автора (жирным шрифтом, по центру);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сведения об авторе (ученое звание, ученая степень, место работы/учебы);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аннотация (описание целей и задач проведенного исследования, а также возможности его практического применения) на русском и английском языках;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ключевые слова (3-5 слов) на русском и английском языках;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основной текст статьи;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720" w:lineRule="auto"/>
        <w:ind w:left="10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список литературы.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Рисунки должны быть вставлены в статью с разрешением не менее 300 dpi. В фиксированную стоимость публикации в ходит не более 4 рисунков, 5 и последующие рисунки оплачиваются в размере 50 руб./шт. </w:t>
      </w:r>
      <w:r w:rsidDel="00000000" w:rsidR="00000000" w:rsidRPr="00000000">
        <w:rPr>
          <w:rFonts w:ascii="Calibri" w:cs="Calibri" w:eastAsia="Calibri" w:hAnsi="Calibri"/>
          <w:color w:val="333333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Табличный материал должен быть представлен без использования сканирования.  Содержащиеся в статье формулы помещаются в текст с использованием формульных редакторов Microsoft Equation.  Все рисунки, таблицы, графики и диаграммы должны нумероваться в порядке упоминания их в тексте и иметь наименования, а так же с указанием ссылками на источник. Название и номера рисунков указываются под рисунками, названия и номера таблиц – над таблицами. Графический и табличный материал размещается  по центру страницы без заполнения текстом свободных областей за пределами боковых границ. Таблицы, схемы, рисунки, формулы, графики не должны выходить за пределы указанных полей (шрифт в таблицах и на рисунках – не менее 10 пт).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Переносы и нумерация страниц по тексту статьи не ставятся.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В электронном варианте каждая статья должна быть в отдельном файле (расширение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.doc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). В имени файла укажите номер раздела, фамилию первого автора.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Например: 1_Иванов И.И._статья и Иванов И.И._заявочная форма.doc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rFonts w:ascii="Georgia" w:cs="Georgia" w:eastAsia="Georgia" w:hAnsi="Georgia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Список литературы должен быть приведен в конце статьи в алфавитной порядке. Оформление списка литературы должно производиться в соответствии с 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ГОСТ Р 7.0.5-2008.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jc w:val="both"/>
        <w:rPr>
          <w:rFonts w:ascii="Georgia" w:cs="Georgia" w:eastAsia="Georgia" w:hAnsi="Georgia"/>
          <w:color w:val="333333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u w:val="single"/>
          <w:rtl w:val="0"/>
        </w:rPr>
        <w:t xml:space="preserve">Например: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60" w:hanging="360"/>
      </w:pPr>
      <w:r w:rsidDel="00000000" w:rsidR="00000000" w:rsidRPr="00000000">
        <w:rPr>
          <w:rFonts w:ascii="Cousine" w:cs="Cousine" w:eastAsia="Cousine" w:hAnsi="Cousine"/>
          <w:color w:val="333333"/>
          <w:sz w:val="24"/>
          <w:szCs w:val="24"/>
          <w:rtl w:val="0"/>
        </w:rPr>
        <w:t xml:space="preserve">Авилова Л. И. Развитие металлопроизводства в эпоху раннего металла (энеолит — поздний бронзовый век) [Электронный ресурс] : состояние проблемы и перспективы исследований // Вестн. РФФИ. 1997. № 2. URL: </w:t>
      </w:r>
      <w:hyperlink r:id="rId6">
        <w:r w:rsidDel="00000000" w:rsidR="00000000" w:rsidRPr="00000000">
          <w:rPr>
            <w:rFonts w:ascii="Georgia" w:cs="Georgia" w:eastAsia="Georgia" w:hAnsi="Georgia"/>
            <w:color w:val="743399"/>
            <w:sz w:val="24"/>
            <w:szCs w:val="24"/>
            <w:rtl w:val="0"/>
          </w:rPr>
          <w:t xml:space="preserve">http://www.rfbr.ru/pics/22394ref/file.pdf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60" w:hanging="36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Краткий экономический словарь / А. Н. Азрилиян [и др.]. 2-е изд., перераб. и доп. М. : Ин-т новой экономики, 2002. 1087 с.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Никонов В. И., Яковлева В. Я. Алгоритмы успешного маркетинга. М., 2007. С. 256—300.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106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Потемкин В. К. Казаков Д. Н. Социальное партнерство: формирование, оценка, регулирование. СПб., 2002. 202 с.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720" w:lineRule="auto"/>
        <w:ind w:left="1060" w:hanging="360"/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Шапкин А. С. Экономические и финансовые риски : оценка, управление, портфель инвестиций. Изд. 3-е. М., 2004. 536 с.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353535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rfbr.ru/pics/22394ref/file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