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 публикации принимаются научные оригинальные и обзорные статьи, посвященные теоретическим и прикладным вопросам научного приборостроения, а также краткие сообщения о новых материалах, методах, приборах.</w:t>
      </w:r>
    </w:p>
    <w:p w:rsidR="00000000" w:rsidDel="00000000" w:rsidP="00000000" w:rsidRDefault="00000000" w:rsidRPr="00000000" w14:paraId="00000002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ТРЕБОВАНИЯ К СТРУКТУРЕ СТАТЬИ / ОБЗОРА / СООБЩЕНИЯ</w:t>
      </w:r>
    </w:p>
    <w:p w:rsidR="00000000" w:rsidDel="00000000" w:rsidP="00000000" w:rsidRDefault="00000000" w:rsidRPr="00000000" w14:paraId="00000004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Титульный лист статьи должен содержать: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индекс УДК,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название,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фамилии и инициалы всех авторов,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название учреждения, от имени которого выступает каждый из авторов (без сокращений и аббревиатур) и город местонахождения,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аннотацию содержания статьи,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ключевые слова и словосочетания,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4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указание фамилии, имени, отчества (полностью), электронной почты одного из авторов — контактного лица для редакции и читателей.</w:t>
      </w:r>
    </w:p>
    <w:p w:rsidR="00000000" w:rsidDel="00000000" w:rsidP="00000000" w:rsidRDefault="00000000" w:rsidRPr="00000000" w14:paraId="0000000C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Вся вышеуказанная информация, кроме индекса УДК, предоставляется на русском и английском языках.</w:t>
      </w:r>
    </w:p>
    <w:p w:rsidR="00000000" w:rsidDel="00000000" w:rsidP="00000000" w:rsidRDefault="00000000" w:rsidRPr="00000000" w14:paraId="0000000D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Аннотация (150–250 слов) должна дать возможность быстро оценить основное содержание статьи без обращения к полному тексту, она не должна дублировать введение. В аннотацию нельзя включать иллюстрации и нумерованные библиографические списки, необходимые формулы д. б. выписаны в текстовом редакторе.</w:t>
      </w:r>
    </w:p>
    <w:p w:rsidR="00000000" w:rsidDel="00000000" w:rsidP="00000000" w:rsidRDefault="00000000" w:rsidRPr="00000000" w14:paraId="0000000E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Обязательные элементы структуры статьи / обзора: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Введение (тема исследования, цели, новизна / отличия, особенности, значение, постановка задачи).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Основная часть: аппаратура, используемые материалы, решение задачи и описание процесса исследования, подтверждение полученных результатов, их анализ и интерпретация (значение, применимость, перспективы). Текст может быть разделен на озаглавленные разделы, при необходимости — на подразделы.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Заключение, выводы (а также благодарности и данные о финансировании).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4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13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Краткие сообщения не структурируются по разделам.</w:t>
      </w:r>
    </w:p>
    <w:p w:rsidR="00000000" w:rsidDel="00000000" w:rsidP="00000000" w:rsidRDefault="00000000" w:rsidRPr="00000000" w14:paraId="00000014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ТЕКСТОВЫЙ МАТЕРИАЛ</w:t>
      </w:r>
    </w:p>
    <w:p w:rsidR="00000000" w:rsidDel="00000000" w:rsidP="00000000" w:rsidRDefault="00000000" w:rsidRPr="00000000" w14:paraId="00000016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Статья должна быть написана литературным русским языком и выверена в лексическом и синтаксическом отношениях. Текст должен быть лаконичным и ясным.</w:t>
      </w:r>
    </w:p>
    <w:p w:rsidR="00000000" w:rsidDel="00000000" w:rsidP="00000000" w:rsidRDefault="00000000" w:rsidRPr="00000000" w14:paraId="00000017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Редакция рассматривает как основной вариант подготовку автором материала в текстовом редакторе MS Word for Windows версии 6 и старше (в формате .DOC (.DOCX), .RTF или .TXT). Все прочие случаи рассматриваются как исключение и требуют согласования с редакцией.</w:t>
      </w:r>
    </w:p>
    <w:p w:rsidR="00000000" w:rsidDel="00000000" w:rsidP="00000000" w:rsidRDefault="00000000" w:rsidRPr="00000000" w14:paraId="00000018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Текст набирается шрифтом 12 пунктов через 1 интервал. Все страницы должны идти последовательно, в соответствии с изложением материала. Объем статьи, включающий текст, таблицы, рисунки и список литературы, должен быть приемлем для журнальной публикации (допустимо членение на части, публикуемые последовательно).</w:t>
      </w:r>
    </w:p>
    <w:p w:rsidR="00000000" w:rsidDel="00000000" w:rsidP="00000000" w:rsidRDefault="00000000" w:rsidRPr="00000000" w14:paraId="00000019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ПРИМЕНЯЕМЫЕ СОКРАЩЕНИЯ</w:t>
      </w:r>
    </w:p>
    <w:p w:rsidR="00000000" w:rsidDel="00000000" w:rsidP="00000000" w:rsidRDefault="00000000" w:rsidRPr="00000000" w14:paraId="0000001B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Используемые в статьях термины, единицы измерения и условные обозначения должны быть общепринятыми. Сокращения слов, имен и названий допускаются только при наличии вводящего описания при первом упоминании их в тексте, за исключением общепринятых сокращений слов, единиц измерения, физических, химических, технических и математических величин и терминов. В русскоязычном тексте единицы измерения записываются в русской транскрипции. В англоязычном тексте должны использоваться международные обозначения физических величин.</w:t>
      </w:r>
    </w:p>
    <w:p w:rsidR="00000000" w:rsidDel="00000000" w:rsidP="00000000" w:rsidRDefault="00000000" w:rsidRPr="00000000" w14:paraId="0000001C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РИСУНКИ И ТАБЛИЦЫ</w:t>
      </w:r>
    </w:p>
    <w:p w:rsidR="00000000" w:rsidDel="00000000" w:rsidP="00000000" w:rsidRDefault="00000000" w:rsidRPr="00000000" w14:paraId="0000001E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Рисунки и таблицы могут быть вынесены за текст и прилагаются после текста также на листах А4 в вертикальной ориентации. Ширина изобразительного элемента выбирается либо в пределах 8, либо 17 см., высота — до 20 см. Надписи и оцифровка на поле рисунка — не мельче 8-го кегля.</w:t>
      </w:r>
    </w:p>
    <w:p w:rsidR="00000000" w:rsidDel="00000000" w:rsidP="00000000" w:rsidRDefault="00000000" w:rsidRPr="00000000" w14:paraId="0000001F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Они включаются в файл статьи либо прилагаются отдельными файлами (форматы JPG, TIF, BMP с разрешением не менее 300 точек на дюйм). Подписи к рисункам выносятся за текст и включаются в файл статьи. На все рисунки и таблицы должны быть ссылки в тексте. Обязательно наименование таблиц и графических материалов. Все столбцы таблицы должны быть озаглавлены, обязательно указание единиц измерения. Информация, представленная в виде диаграмм и графиков, не должна дублироваться в виде таблиц.</w:t>
      </w:r>
    </w:p>
    <w:p w:rsidR="00000000" w:rsidDel="00000000" w:rsidP="00000000" w:rsidRDefault="00000000" w:rsidRPr="00000000" w14:paraId="00000020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 графическим материалам (изображениям любого происхождения) предъявляется требование: они должны быть убедительны, доказательны и воспринимаемы в любом представлении — как цветном, так и монохромном. Указания на цвета в иллюстрациях д. б. исключены из текста статьи и подрисуночных подписей.</w:t>
      </w:r>
    </w:p>
    <w:p w:rsidR="00000000" w:rsidDel="00000000" w:rsidP="00000000" w:rsidRDefault="00000000" w:rsidRPr="00000000" w14:paraId="00000021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подписях к рисункам и таблицам должны быть приведены расшифровки всех обозначений и сокращений, принятых на поле изобразительного элемента.</w:t>
      </w:r>
    </w:p>
    <w:p w:rsidR="00000000" w:rsidDel="00000000" w:rsidP="00000000" w:rsidRDefault="00000000" w:rsidRPr="00000000" w14:paraId="00000022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Все буквенные обозначения одних и тех же величин в тексте, формулах, рисунках и таблицах должны быть идентичными по шрифтовому оформлению и виду написания.</w:t>
      </w:r>
    </w:p>
    <w:p w:rsidR="00000000" w:rsidDel="00000000" w:rsidP="00000000" w:rsidRDefault="00000000" w:rsidRPr="00000000" w14:paraId="00000023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ФОРМУЛЫ</w:t>
      </w:r>
    </w:p>
    <w:p w:rsidR="00000000" w:rsidDel="00000000" w:rsidP="00000000" w:rsidRDefault="00000000" w:rsidRPr="00000000" w14:paraId="00000025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Формулы в текстовом файле должны быть выполнены либо в текстовом режиме, либо в формульном редакторе MathType (категорически отрицательно расценивается использование «Редактора формул Microsoft Word») со следующими установками: написание всех цифр, греческих заглавных букв, математических операций и функций, химических элементов — прямое, написание переменных величин — курсив, написание векторов — прямое полужирное. Следует избегать применения непредопределенных в формульном редакторе типов (STYLE OTHER) и размеров (SIZE OTHER), а также модифицировать габаритные размеры формул. Формулы при наличии на них ссылок в тексте должны быть пронумерованы, ссылки на формулы обозначаются цифрами в круглых скобках.</w:t>
      </w:r>
    </w:p>
    <w:p w:rsidR="00000000" w:rsidDel="00000000" w:rsidP="00000000" w:rsidRDefault="00000000" w:rsidRPr="00000000" w14:paraId="00000026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Буквенные обозначения, надстрочные и подстрочные индексы, специальные обозначения (знаки интеграла, суммы, произведения и т. п.) в формулах должны быть общепринятыми и напечатаны так, чтобы исключить возможные их разночтения.</w:t>
      </w:r>
    </w:p>
    <w:p w:rsidR="00000000" w:rsidDel="00000000" w:rsidP="00000000" w:rsidRDefault="00000000" w:rsidRPr="00000000" w14:paraId="00000027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десятичных дробях ставится точка, не запятая.</w:t>
      </w:r>
    </w:p>
    <w:p w:rsidR="00000000" w:rsidDel="00000000" w:rsidP="00000000" w:rsidRDefault="00000000" w:rsidRPr="00000000" w14:paraId="00000028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СПИСОК ЛИТЕРАТУРЫ (БИБЛИОГРАФИЯ)</w:t>
      </w:r>
    </w:p>
    <w:p w:rsidR="00000000" w:rsidDel="00000000" w:rsidP="00000000" w:rsidRDefault="00000000" w:rsidRPr="00000000" w14:paraId="0000002A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Библиографические ссылки должны быть помечены в тексте в порядке появления последовательными цифрами в квадратных скобках. В списке литературы источники указываются в порядке упоминания в тексте. Список литературы с указанием номера ссылки (без квадратных скобок) должен содержать записи вида:</w:t>
      </w:r>
    </w:p>
    <w:p w:rsidR="00000000" w:rsidDel="00000000" w:rsidP="00000000" w:rsidRDefault="00000000" w:rsidRPr="00000000" w14:paraId="0000002B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для монографий</w:t>
      </w:r>
    </w:p>
    <w:p w:rsidR="00000000" w:rsidDel="00000000" w:rsidP="00000000" w:rsidRDefault="00000000" w:rsidRPr="00000000" w14:paraId="0000002C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1.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Иванов А.И.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Теория поля. М.: Наука, 1992. 274 с.</w:t>
      </w:r>
    </w:p>
    <w:p w:rsidR="00000000" w:rsidDel="00000000" w:rsidP="00000000" w:rsidRDefault="00000000" w:rsidRPr="00000000" w14:paraId="0000002D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для журнальных статей</w:t>
      </w:r>
    </w:p>
    <w:p w:rsidR="00000000" w:rsidDel="00000000" w:rsidP="00000000" w:rsidRDefault="00000000" w:rsidRPr="00000000" w14:paraId="0000002E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2.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Петров Д.А.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Название статьи // Аналитическая химия. 1996. Т. 24, № 3. С. 34–42.</w:t>
      </w:r>
    </w:p>
    <w:p w:rsidR="00000000" w:rsidDel="00000000" w:rsidP="00000000" w:rsidRDefault="00000000" w:rsidRPr="00000000" w14:paraId="0000002F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для авторефератов диссертаций</w:t>
      </w:r>
    </w:p>
    <w:p w:rsidR="00000000" w:rsidDel="00000000" w:rsidP="00000000" w:rsidRDefault="00000000" w:rsidRPr="00000000" w14:paraId="00000030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3.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Петров Д.А.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Название. Автореф. дис. ... д-ра хим. наук. М., 1997. 30 с.</w:t>
      </w:r>
    </w:p>
    <w:p w:rsidR="00000000" w:rsidDel="00000000" w:rsidP="00000000" w:rsidRDefault="00000000" w:rsidRPr="00000000" w14:paraId="00000031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для патентов</w:t>
      </w:r>
    </w:p>
    <w:p w:rsidR="00000000" w:rsidDel="00000000" w:rsidP="00000000" w:rsidRDefault="00000000" w:rsidRPr="00000000" w14:paraId="00000032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4.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Сидоров Е.Е.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Название. Патент США N 231783456, 02.11.91.</w:t>
      </w:r>
    </w:p>
    <w:p w:rsidR="00000000" w:rsidDel="00000000" w:rsidP="00000000" w:rsidRDefault="00000000" w:rsidRPr="00000000" w14:paraId="00000033">
      <w:pPr>
        <w:shd w:fill="ffffff" w:val="clear"/>
        <w:spacing w:after="40" w:before="10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Не допускаются ссылки на неопубликованные материалы или материалы, не находящиеся в открытом доступе.</w:t>
      </w:r>
    </w:p>
    <w:p w:rsidR="00000000" w:rsidDel="00000000" w:rsidP="00000000" w:rsidRDefault="00000000" w:rsidRPr="00000000" w14:paraId="00000034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Все библиографические данные должны быть тщательно выверены. (Не следует пользоваться ссылочным механизмом используемого электронного редактора — местоположение объектов при верстке меняется, и ссылка становится недействительной). Рекомендуемое количество источников: для статей — не менее 15, для обзорной статьи — не менее 50, для краткого сообщения — не менее 8.</w:t>
      </w:r>
    </w:p>
    <w:p w:rsidR="00000000" w:rsidDel="00000000" w:rsidP="00000000" w:rsidRDefault="00000000" w:rsidRPr="00000000" w14:paraId="00000035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Следует избегать необоснованного самоцитирования.</w:t>
      </w:r>
    </w:p>
    <w:p w:rsidR="00000000" w:rsidDel="00000000" w:rsidP="00000000" w:rsidRDefault="00000000" w:rsidRPr="00000000" w14:paraId="00000036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НАПРАВЛЕНИЕ СТАТЬИ В РЕДАКЦИЮ</w:t>
      </w:r>
    </w:p>
    <w:p w:rsidR="00000000" w:rsidDel="00000000" w:rsidP="00000000" w:rsidRDefault="00000000" w:rsidRPr="00000000" w14:paraId="00000038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Все материалы передаются в редакцию в электронном виде посредством электронной почты. Комплект единовременно направляемых материалов, передаваемых автором (авторами) в редакцию, включает: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Материалы статьи.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afterAutospacing="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Скан-копию сопроводительного письма и акта экспертизы направляющего учреждения (JPG, PDF). Если публикация направляется не от учреждения, а по инициативе автора (авторов), то достаточно сопроводительного письма, подписанного автором (авторами).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after="40" w:lineRule="auto"/>
        <w:ind w:left="40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Скан-копию заполненного и подписанного одним из авторов статьи "Договора о передаче авторского права Издателю" (JPG, PDF). Шаблон Договора можно скачать в разделе http://iairas.ru/mag/dogovor.php.</w:t>
      </w:r>
    </w:p>
    <w:p w:rsidR="00000000" w:rsidDel="00000000" w:rsidP="00000000" w:rsidRDefault="00000000" w:rsidRPr="00000000" w14:paraId="0000003C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После прохождения экспертизы статьи все замечания эксперта и редакции направляются автору для внесения исправлений. Откорректированная рукопись представляется в редакцию в электронном виде по электронной почте</w:t>
      </w:r>
    </w:p>
    <w:p w:rsidR="00000000" w:rsidDel="00000000" w:rsidP="00000000" w:rsidRDefault="00000000" w:rsidRPr="00000000" w14:paraId="0000003D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after="40" w:line="336" w:lineRule="auto"/>
        <w:rPr>
          <w:rFonts w:ascii="Verdana" w:cs="Verdana" w:eastAsia="Verdana" w:hAnsi="Verdana"/>
          <w:b w:val="1"/>
          <w:color w:val="3869c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869c8"/>
          <w:sz w:val="18"/>
          <w:szCs w:val="18"/>
          <w:rtl w:val="0"/>
        </w:rPr>
        <w:t xml:space="preserve">ВЗАИМООТНОШЕНИЯ РЕДАКЦИИ С АВТОРАМИ</w:t>
      </w:r>
    </w:p>
    <w:p w:rsidR="00000000" w:rsidDel="00000000" w:rsidP="00000000" w:rsidRDefault="00000000" w:rsidRPr="00000000" w14:paraId="0000003F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Если оформление рукописи публикации не соответствует настоящим Правилам, редакция вправе вернуть ее авторам с замечаниями по оформлению без экспертизы и регистрации. После экспертизы при наличии замечаний рецензента рукопись и замечания направляются автору. В случае необходимости правки текста по замечаниям автор представляет в редакцию выправленную электронную версию.</w:t>
      </w:r>
    </w:p>
    <w:p w:rsidR="00000000" w:rsidDel="00000000" w:rsidP="00000000" w:rsidRDefault="00000000" w:rsidRPr="00000000" w14:paraId="00000040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После верстки статья направляется автору на просмотр. Внесение изменений в текст, кроме технических, не допускается. В случае появления авторских правок рукописи дополнительно к замечаниям эксперта и/или редакции рукопись рассматривается как новая и заново регистрируется, и направляется на экспертизу. Редакция вправе вносить в рукописи изменения и сокращения, имеющие редакционный характер и не затрагивающие содержания статьи. Гонорар авторам не выплачивается. Рукописи не возвращаются.</w:t>
      </w:r>
    </w:p>
    <w:p w:rsidR="00000000" w:rsidDel="00000000" w:rsidP="00000000" w:rsidRDefault="00000000" w:rsidRPr="00000000" w14:paraId="00000041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Журнал распространяется по подписке (в Каталоге подписных изданий на почте индекс 70613); через Книжную палату поступает в крупнейшие библиотеки страны.</w:t>
      </w:r>
    </w:p>
    <w:p w:rsidR="00000000" w:rsidDel="00000000" w:rsidP="00000000" w:rsidRDefault="00000000" w:rsidRPr="00000000" w14:paraId="00000042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Все выпуски журнала с 2000 г. полнотекстно представлены на сайте ИАП РАН (http://iairas.ru/magazin.php).</w:t>
      </w:r>
    </w:p>
    <w:p w:rsidR="00000000" w:rsidDel="00000000" w:rsidP="00000000" w:rsidRDefault="00000000" w:rsidRPr="00000000" w14:paraId="00000043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Журнал присутствует в перечне ВАК, включен в Реферативный журнал и базу данных ВИНИТИ, в базы данных БЕН РАН и Российского индекса научного цитирования (РИНЦ). Сведения о журнале ежегодно публикуются в Международной справочной системе по периодическим и продолжающимся изданиям "Ulrich’s Periodical Directory".</w:t>
      </w:r>
    </w:p>
    <w:p w:rsidR="00000000" w:rsidDel="00000000" w:rsidP="00000000" w:rsidRDefault="00000000" w:rsidRPr="00000000" w14:paraId="00000044">
      <w:pPr>
        <w:shd w:fill="ffffff" w:val="clear"/>
        <w:spacing w:after="40" w:line="33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Статьи журнала лицензируются по лицензии </w:t>
      </w:r>
      <w:hyperlink r:id="rId6">
        <w:r w:rsidDel="00000000" w:rsidR="00000000" w:rsidRPr="00000000">
          <w:rPr>
            <w:rFonts w:ascii="Verdana" w:cs="Verdana" w:eastAsia="Verdana" w:hAnsi="Verdana"/>
            <w:color w:val="333333"/>
            <w:sz w:val="18"/>
            <w:szCs w:val="18"/>
            <w:u w:val="single"/>
            <w:rtl w:val="0"/>
          </w:rPr>
          <w:t xml:space="preserve">Creative Commons Attribution-NonCommercial 4.0 International License (CC BY-NC 4.0)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всё содержание журнала доступно для бесплатного использования физическим лицом или учреждением. Пользователям разрешено читать, скачивать, распространять, копировать, печатать, искать или ссылаться на полные тексты документов или использовать их в любых законных целях (кроме коммерческих) без предварительного разрешения издателя или автора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