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Срок опубликования статьи - в течение 1 месяца с момента ее утверждения редакционно-издательским советом.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Объем рукописи не должен превышать 45 тыс. знаков, а заголовок статьи – 70 знаков. Аннотация (реферат) для большинства журналов должен быть не менее 1800-2000 знаков (см. подробнее внизу страницы). На первой странице рукописи статьи указывается УДК, затем </w:t>
      </w:r>
      <w:hyperlink r:id="rId6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JEL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- от 1 до 5 в одной строке, через запятую (только для статей экономических направлений), название статьи прописными буквами жирным шрифтом. Следующая строка, набранная курсивом, – фамилия и инициалы автора (-ов). Далее строка о местонахождении: полное название организации и города, если они расположены в России и странах СНГ; при местонахождении в дальнем зарубежье указывается организация, город и страна. В начале статьи помещается аннотация (или реферат) и 8–12 ключевых слов.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Структура статьи: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Введение (Introduction)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Методы (Materials and Methods)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Детально описывают метод и схему экспериментов наблюдения, позволяющие воспроизвести их результаты, пользуясь только текстом статьи;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Описывают материалы, приборы, оборудование и другие условия проведения экспериментов наблюдений.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Результаты (Results)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Представляют фактические результаты исследования (текст, таблицы, графики, диаграммы, уравнения, фотографии, рисунки).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Обсуждение (Discussion)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Содержит интерпретацию полученных результатов исследования, включая: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соответствие полученных результатов гипотезе исследования;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ограничения исследования и обобщения его результатов;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предложения по практическому применению;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предложения по направлению будущих исследований.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Заключение (или выводы) (Conclusion)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Содержит краткие итоги разделов статьи без повторения формулировок, приведенных в них.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Благодарности (Acknowledgments)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Автор выражает: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признательность коллегам за помощь;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благодарность за финансовую поддержку исследования.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Список литературы (References)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Включает только источники, использованные при подготовке статьи, оформленные в соответствии со стандартом.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="316.15999999999997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Требования к статьям, принимаемым для публикации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Статьи, присылаемые для публикации, должны соответствовать следующим требованиям:</w:t>
      </w:r>
    </w:p>
    <w:p w:rsidR="00000000" w:rsidDel="00000000" w:rsidP="00000000" w:rsidRDefault="00000000" w:rsidRPr="00000000" w14:paraId="0000001B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1) Шрифт: Times New Roman;</w:t>
      </w:r>
    </w:p>
    <w:p w:rsidR="00000000" w:rsidDel="00000000" w:rsidP="00000000" w:rsidRDefault="00000000" w:rsidRPr="00000000" w14:paraId="0000001C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2) Размер шрифта: 14 пт;</w:t>
      </w:r>
    </w:p>
    <w:p w:rsidR="00000000" w:rsidDel="00000000" w:rsidP="00000000" w:rsidRDefault="00000000" w:rsidRPr="00000000" w14:paraId="0000001D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3) Междустрочный интервал: 1,5;</w:t>
      </w:r>
    </w:p>
    <w:p w:rsidR="00000000" w:rsidDel="00000000" w:rsidP="00000000" w:rsidRDefault="00000000" w:rsidRPr="00000000" w14:paraId="0000001E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4) Формат: А4 книжный (297 x 210);</w:t>
      </w:r>
    </w:p>
    <w:p w:rsidR="00000000" w:rsidDel="00000000" w:rsidP="00000000" w:rsidRDefault="00000000" w:rsidRPr="00000000" w14:paraId="0000001F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5) Формат файла: статья должна быть сохранена в одном из форматов: .doc, .docx, .rtf.</w:t>
      </w:r>
    </w:p>
    <w:p w:rsidR="00000000" w:rsidDel="00000000" w:rsidP="00000000" w:rsidRDefault="00000000" w:rsidRPr="00000000" w14:paraId="00000020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6) Материал должен быть изложен кратко, без повторений данных таблиц и рисунков в тексте; на литературу, таблицы и рисунки следует давать ссылки в тексте. Статья должна быть четко структурирована: введение (обзор проблем, цель работы); теория вопроса; подробное изложение методики проведения опытов, описание материалов и методов анализа, желательна статистическая обработка; обсуждение результатов; заключение. Для статей производственного характера достаточно сделать разделы "Цель работы" и "Полученные результаты".</w:t>
      </w:r>
    </w:p>
    <w:p w:rsidR="00000000" w:rsidDel="00000000" w:rsidP="00000000" w:rsidRDefault="00000000" w:rsidRPr="00000000" w14:paraId="00000021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7) Статья должна иметь не более 4 авторов (для всех журналов). Остальных членов авторского коллектива, принимающих участие в работе, можно указать в сноске.</w:t>
      </w:r>
    </w:p>
    <w:p w:rsidR="00000000" w:rsidDel="00000000" w:rsidP="00000000" w:rsidRDefault="00000000" w:rsidRPr="00000000" w14:paraId="0000002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Аннотация (реферат) и ключевые слова</w:t>
      </w:r>
    </w:p>
    <w:p w:rsidR="00000000" w:rsidDel="00000000" w:rsidP="00000000" w:rsidRDefault="00000000" w:rsidRPr="00000000" w14:paraId="0000002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Для публикации в научных журналах к статье необходимо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приложить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аннотацию и 8–12 ключевых слов.</w:t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Аннотация должна в реферативной форме отражать содержание статьи (цель или введение, методы, результаты, выводы и обсуждение), чтобы предоставить читателю возможность быстро оценить суть статьи без обращения к ее полному тексту. В аннотации следует избегать употребления общих фраз и дословного повторения названия и материала статьи. Использование аббревиатур в аннотации нежелательно, но если они все-таки употребляются, их расшифровка обязательна. Текст аннотации не должен содержать таблицы, рисунки, подзаголовки, списки с нумерацией. В аннотации излагаются существенные факты работы, она не должна содержать материал, который отсутствует в самой статье.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Размер аннотации (реферата) регламентирован правилами отдельных журналов: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«Научное обозрение: теория и практика»: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«Научная жизнь»: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«Развитие АПК: проблемы и решения»: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2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«Минерва»: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2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«Экономический обозреватель»: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«Вестник развития науки и образования»: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«Научное обозрение: гуманитарные исследования»: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«Научное обозрение»: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«Научная мысль»: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краткая аннотация (не более 100 слов).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Формулы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rtl w:val="0"/>
        </w:rPr>
        <w:t xml:space="preserve">Представление формул в виде картинок недопустимо!</w:t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Простые формулы допускается набирать обычным текстом. Специальные символы, такие как греческие буквы, знаки умножения и др., можно вставить, используя команду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444444"/>
          <w:sz w:val="20"/>
          <w:szCs w:val="20"/>
          <w:rtl w:val="0"/>
        </w:rPr>
        <w:t xml:space="preserve">Вставка → Символ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 В появившемся окошке выбрать нужный символ, нажать кнопку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Вставить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затем кнопку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Закрыть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Более сложные формулы должны быть набраны в редакторе формул </w:t>
      </w:r>
      <w:hyperlink r:id="rId7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MathType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или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Microsoft Equation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(входит в состав MS Word).</w:t>
      </w:r>
    </w:p>
    <w:p w:rsidR="00000000" w:rsidDel="00000000" w:rsidP="00000000" w:rsidRDefault="00000000" w:rsidRPr="00000000" w14:paraId="0000003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Рисунки</w:t>
      </w:r>
    </w:p>
    <w:p w:rsidR="00000000" w:rsidDel="00000000" w:rsidP="00000000" w:rsidRDefault="00000000" w:rsidRPr="00000000" w14:paraId="00000037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rtl w:val="0"/>
        </w:rPr>
        <w:t xml:space="preserve">Используемые в статье рисунки должны быть присланы в виде отдельных графических файлов.</w:t>
      </w:r>
    </w:p>
    <w:p w:rsidR="00000000" w:rsidDel="00000000" w:rsidP="00000000" w:rsidRDefault="00000000" w:rsidRPr="00000000" w14:paraId="00000038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rtl w:val="0"/>
        </w:rPr>
        <w:t xml:space="preserve">Пожалуйста, не внедряйте рисунки в текст документа, от этого их качество ухудшается!</w:t>
      </w:r>
    </w:p>
    <w:p w:rsidR="00000000" w:rsidDel="00000000" w:rsidP="00000000" w:rsidRDefault="00000000" w:rsidRPr="00000000" w14:paraId="0000003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000000" w:rsidDel="00000000" w:rsidP="00000000" w:rsidRDefault="00000000" w:rsidRPr="00000000" w14:paraId="0000003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Рисунки должны быть пронумерованы согласно их положению в статье.</w:t>
      </w:r>
    </w:p>
    <w:p w:rsidR="00000000" w:rsidDel="00000000" w:rsidP="00000000" w:rsidRDefault="00000000" w:rsidRPr="00000000" w14:paraId="0000003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Допустимые форматы растровые – JPG, BMP, TIFF, PNG, GIF, векторные – EPS, CDR, CDX, WMF, EMF.</w:t>
      </w:r>
    </w:p>
    <w:p w:rsidR="00000000" w:rsidDel="00000000" w:rsidP="00000000" w:rsidRDefault="00000000" w:rsidRPr="00000000" w14:paraId="0000003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Разрешение растровых иллюстраций должно быть не менее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300 dpi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1. Откройте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Проводник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выберите рисунок, разрешение которого вы хотите узнать. Нажмите правую кнопку мыши и в выпадающем списке выберите пункт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Свойства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В открывшемся окошке выберите вкладку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Сводка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В строчках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 Горизонтальное разрешение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и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Разрешение по вертикали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и будет разрешение рисунка.</w:t>
      </w:r>
    </w:p>
    <w:p w:rsidR="00000000" w:rsidDel="00000000" w:rsidP="00000000" w:rsidRDefault="00000000" w:rsidRPr="00000000" w14:paraId="0000004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Что делать, если рисунок имеет разрешение меньше 300 dpi (300 точек/дюйм)?</w:t>
      </w:r>
    </w:p>
    <w:p w:rsidR="00000000" w:rsidDel="00000000" w:rsidP="00000000" w:rsidRDefault="00000000" w:rsidRPr="00000000" w14:paraId="0000004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Чтобы улучшить изображения, можно только создать его заново:</w:t>
      </w:r>
    </w:p>
    <w:p w:rsidR="00000000" w:rsidDel="00000000" w:rsidP="00000000" w:rsidRDefault="00000000" w:rsidRPr="00000000" w14:paraId="00000043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1) отсканировать заново, сделать новую фотографию с другими параметрами съёмки и т. п.</w:t>
      </w:r>
    </w:p>
    <w:p w:rsidR="00000000" w:rsidDel="00000000" w:rsidP="00000000" w:rsidRDefault="00000000" w:rsidRPr="00000000" w14:paraId="0000004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2) перерисовать рисунок в векторном редакторе и сохранить его в векторном формате (cdr, cdx, ai, eps, wmf).</w:t>
      </w:r>
    </w:p>
    <w:p w:rsidR="00000000" w:rsidDel="00000000" w:rsidP="00000000" w:rsidRDefault="00000000" w:rsidRPr="00000000" w14:paraId="0000004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Таблицы</w:t>
      </w:r>
    </w:p>
    <w:p w:rsidR="00000000" w:rsidDel="00000000" w:rsidP="00000000" w:rsidRDefault="00000000" w:rsidRPr="00000000" w14:paraId="0000004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Таблица должна быть набрана тем же шрифтом, что и текст. В столбцах необходимо выровнять содержание. Столбцы и строки, в которых представлены цифры, выравниваются по центру.</w:t>
      </w:r>
    </w:p>
    <w:p w:rsidR="00000000" w:rsidDel="00000000" w:rsidP="00000000" w:rsidRDefault="00000000" w:rsidRPr="00000000" w14:paraId="0000004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Выравнивание в ячейке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навести курсор, и в следующем меню выбрать необходимую картинку. Для выравнивания по центру – 2-й ряд, центральный рисунок. Для выравнивания по левому краю – 2-й ряд, первый рисунок и т.д. </w:t>
      </w:r>
    </w:p>
    <w:p w:rsidR="00000000" w:rsidDel="00000000" w:rsidP="00000000" w:rsidRDefault="00000000" w:rsidRPr="00000000" w14:paraId="0000004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Диаграммы</w:t>
      </w:r>
    </w:p>
    <w:p w:rsidR="00000000" w:rsidDel="00000000" w:rsidP="00000000" w:rsidRDefault="00000000" w:rsidRPr="00000000" w14:paraId="0000004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Диаграммы Microsoft Excel, внедрённые в статью, должны быть редактируемыми.</w:t>
      </w:r>
    </w:p>
    <w:p w:rsidR="00000000" w:rsidDel="00000000" w:rsidP="00000000" w:rsidRDefault="00000000" w:rsidRPr="00000000" w14:paraId="0000004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При наборе формул необходимо использовать редактор формул MathType 5.x либо Microsoft Equation 3.0. Рисунки представлять в виде отдельных файлов (допустимые форматы растровые (разрешение не менее 300 dpi) - JPG, BMP, TIFF, PNG, GIF; векторные - EPS, CDR, CDX, WMF, EMF).</w:t>
      </w:r>
    </w:p>
    <w:p w:rsidR="00000000" w:rsidDel="00000000" w:rsidP="00000000" w:rsidRDefault="00000000" w:rsidRPr="00000000" w14:paraId="0000004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ссылкой должна быть представлена в конце статьи в списке литературы. </w:t>
      </w:r>
    </w:p>
    <w:p w:rsidR="00000000" w:rsidDel="00000000" w:rsidP="00000000" w:rsidRDefault="00000000" w:rsidRPr="00000000" w14:paraId="0000004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Ссылки в тексте статьи</w:t>
      </w:r>
    </w:p>
    <w:p w:rsidR="00000000" w:rsidDel="00000000" w:rsidP="00000000" w:rsidRDefault="00000000" w:rsidRPr="00000000" w14:paraId="0000005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 тексте ссылки на литературу оформляются в квадратных скобках с указанием номера источника из списка литературы и цитируемых страниц. Примеры: [12]; [13, с. 105–112]; [2, 16, 33]; [2, с. 245; 33, с. 19; 118, с. 9–21]. </w:t>
      </w:r>
    </w:p>
    <w:p w:rsidR="00000000" w:rsidDel="00000000" w:rsidP="00000000" w:rsidRDefault="00000000" w:rsidRPr="00000000" w14:paraId="0000005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5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Список литературы приводится в конце статьи после слова ЛИТЕРАТУРА и включает только источники, использованные при подготовке статьи, отмеченные в теле статьи. Список литературы нельзя располагать в сносках. В подстрочных примечаниях (сносках) могут включаться только нормативные документы, стат. сборники, архивные материалы, газетные заметки без указания автора, ссылки на сайты без указания конкретного материала.</w:t>
      </w:r>
    </w:p>
    <w:p w:rsidR="00000000" w:rsidDel="00000000" w:rsidP="00000000" w:rsidRDefault="00000000" w:rsidRPr="00000000" w14:paraId="0000005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 список литературы включаются также интернет-ресурсы, ссылки на которые имеются в тексте статьи.</w:t>
      </w:r>
    </w:p>
    <w:p w:rsidR="00000000" w:rsidDel="00000000" w:rsidP="00000000" w:rsidRDefault="00000000" w:rsidRPr="00000000" w14:paraId="0000005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 научных журналах источники в списке литературы приводятся в порядке ссылок на них в тексте статьи. </w:t>
      </w:r>
    </w:p>
    <w:p w:rsidR="00000000" w:rsidDel="00000000" w:rsidP="00000000" w:rsidRDefault="00000000" w:rsidRPr="00000000" w14:paraId="0000005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 целью повышения качества и объективности публикаций, авторы статей призваны отражать в своих публикациях передовой научный опыт стран дальнего зарубежья, России и СНГ по рассматриваемой в статье проблематике, поэтому библиографический список статьи (в соответствии с требованиями международных баз данных) должен соответствовать требованиям ГОСТ 7.1-2003 (и его более поздней версии 2008 г.) и иметь не менее 12 источников (из них не более 3 ссылок на собственные работы (самоцитирование – не более 15%)), с обязательным включением как минимум 5 источников позднее 2015 г., и не менее 4 ссылок на зарубежные (из стран дальнего зарубежья, за пределами бывшего СССР) исследования последних лет (зарубежных - не менее 30%) .</w:t>
      </w:r>
    </w:p>
    <w:p w:rsidR="00000000" w:rsidDel="00000000" w:rsidP="00000000" w:rsidRDefault="00000000" w:rsidRPr="00000000" w14:paraId="0000005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Библиографический список должен содержать следующие сведения: при ссылке на журнальную статью - фамилию и инициалы автора, полное название журнала, год издания, том, номер, страницы начала и конца статьи; при ссылке на книгу - фамилию и инициалы автора, название произведения, место издания, издательство (для иностранного источника достаточно указать город), год издания, общее число страниц в книге; при ссылке на статью в сборнике - название сборника, номер выпуска (или тома), место издания, издательство (или издающая организация), страницы начала и конца статьи; для интернет-ссылок - название ресурса и публикации, режим доступа. Номер литературной ссылки дается в квадратных скобках в соответствующем месте текста. При составлении библиографических списков авторам рекомендуется использовать надежные верифицируемые источники и избегать ссылок на публичные ресурсы, информация из которых не может иметь авторитетного подтверждения (например, Википедия).</w:t>
      </w:r>
    </w:p>
    <w:p w:rsidR="00000000" w:rsidDel="00000000" w:rsidP="00000000" w:rsidRDefault="00000000" w:rsidRPr="00000000" w14:paraId="00000058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Примеры:</w:t>
      </w:r>
    </w:p>
    <w:p w:rsidR="00000000" w:rsidDel="00000000" w:rsidP="00000000" w:rsidRDefault="00000000" w:rsidRPr="00000000" w14:paraId="00000059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 1. Моноиздание с двумя авторами</w:t>
      </w:r>
    </w:p>
    <w:p w:rsidR="00000000" w:rsidDel="00000000" w:rsidP="00000000" w:rsidRDefault="00000000" w:rsidRPr="00000000" w14:paraId="0000005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Ковшиков В. А., Глухов В. П. Психолингвистика: теория речевой деятельности : учеб.пособие для студентов педвузов. – М.: Астрель; Тверь: АСТ, 2006. – 319 с. (Высшая школа).</w:t>
      </w:r>
    </w:p>
    <w:p w:rsidR="00000000" w:rsidDel="00000000" w:rsidP="00000000" w:rsidRDefault="00000000" w:rsidRPr="00000000" w14:paraId="0000005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2. Моноиздание, имеющее более трех авторов</w:t>
      </w:r>
    </w:p>
    <w:p w:rsidR="00000000" w:rsidDel="00000000" w:rsidP="00000000" w:rsidRDefault="00000000" w:rsidRPr="00000000" w14:paraId="0000005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Социально-экономическое обоснование структурных преобразований в горнопромышленных районах / Е.М. Козаков, В. М. Попов, А.А. Рожков и др. – Екатеринбург: Институт экономики УрО РАН, 2000.– 315 с.</w:t>
      </w:r>
    </w:p>
    <w:p w:rsidR="00000000" w:rsidDel="00000000" w:rsidP="00000000" w:rsidRDefault="00000000" w:rsidRPr="00000000" w14:paraId="0000005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Краткий экономический словарь / А. Н. Азрилиян и др. 2-е изд., перераб. и доп. – М.: Ин-т новой экономики, 2002. – 1087 с.</w:t>
      </w:r>
    </w:p>
    <w:p w:rsidR="00000000" w:rsidDel="00000000" w:rsidP="00000000" w:rsidRDefault="00000000" w:rsidRPr="00000000" w14:paraId="0000005F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3. Статья в сборнике</w:t>
      </w:r>
    </w:p>
    <w:p w:rsidR="00000000" w:rsidDel="00000000" w:rsidP="00000000" w:rsidRDefault="00000000" w:rsidRPr="00000000" w14:paraId="0000006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Данилина Г. А. Характеристика иммунного статуса детей, постоянно проживающих в зоне влияния предприятий атомной промышленности // Материалы VII съезда всерос. о-ва эпидемиологов, микробиологов и паразитологов (2–8 июля 2002 г.). – М.: Экос, 2002. – 435 с.– С. 5-15.</w:t>
      </w:r>
    </w:p>
    <w:p w:rsidR="00000000" w:rsidDel="00000000" w:rsidP="00000000" w:rsidRDefault="00000000" w:rsidRPr="00000000" w14:paraId="0000006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4. Статья в журнале</w:t>
      </w:r>
    </w:p>
    <w:p w:rsidR="00000000" w:rsidDel="00000000" w:rsidP="00000000" w:rsidRDefault="00000000" w:rsidRPr="00000000" w14:paraId="0000006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Адорно Т. В. К логике социальных наук // Вопр. философии. – 1992. – №10.– С. 15-25. doi</w:t>
      </w:r>
    </w:p>
    <w:p w:rsidR="00000000" w:rsidDel="00000000" w:rsidP="00000000" w:rsidRDefault="00000000" w:rsidRPr="00000000" w14:paraId="0000006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5. Особенности составления ссылок на электронные ресурсы</w:t>
      </w:r>
    </w:p>
    <w:p w:rsidR="00000000" w:rsidDel="00000000" w:rsidP="00000000" w:rsidRDefault="00000000" w:rsidRPr="00000000" w14:paraId="0000006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Ссылки на интернет-сайты, интернет-источники (не распространяется на авторские статьи, монографии и др., размещенные в Интернете), нормативно-правовую документацию (законы, постановления, акты и др.), статистические сборники, газетные публикации располагаются по тексту в подстрочных сносках и в списке источников не указываются. Для всех интернет-источников, включая подстрочные сноски, необходимо указывать дату обращения. Для электронных источников, у которых есть doi (digital object identifier, указывается в левом верхнем углу страницы в начале статьи), необходимо привести его в конце библиографической записи.</w:t>
      </w:r>
    </w:p>
    <w:p w:rsidR="00000000" w:rsidDel="00000000" w:rsidP="00000000" w:rsidRDefault="00000000" w:rsidRPr="00000000" w14:paraId="0000006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Примеры:</w:t>
      </w:r>
    </w:p>
    <w:p w:rsidR="00000000" w:rsidDel="00000000" w:rsidP="00000000" w:rsidRDefault="00000000" w:rsidRPr="00000000" w14:paraId="0000006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1. Дирина А.И. Право военнослужащих Российской Федерации на свободу ассоциаций // Военное право : сетевой журн. 2007. [Электронный ресурс]. URL:http://www/voennoepravo.ru/node/2149 (дата обращения: 19.09.2007).</w:t>
      </w:r>
    </w:p>
    <w:p w:rsidR="00000000" w:rsidDel="00000000" w:rsidP="00000000" w:rsidRDefault="00000000" w:rsidRPr="00000000" w14:paraId="0000006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О жилищных правах научных работников: постановление ВЦИК, СНК РСФСР от 20 авг. 1933 г. (с изм. и доп., внесенными постановлениями ВЦИК, СНК РСФСР от 1 нояб. 1934 г., от 24 июня 1938 г.). [Электронный ресурс]. Доступ из справ.-правовой системы «КонсультантПлюс».</w:t>
      </w:r>
    </w:p>
    <w:p w:rsidR="00000000" w:rsidDel="00000000" w:rsidP="00000000" w:rsidRDefault="00000000" w:rsidRPr="00000000" w14:paraId="0000006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Энциклопедия животных Кирилла и Мефодия. – М. : Кирилл и Мефодий: Newmediageneration, 2006.– 1 электрон. опт. диск (DVD-ROM).</w:t>
      </w:r>
    </w:p>
    <w:p w:rsidR="00000000" w:rsidDel="00000000" w:rsidP="00000000" w:rsidRDefault="00000000" w:rsidRPr="00000000" w14:paraId="0000006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4. Лэтчфорд Е. У. С Белой армией в Сибири // Восточный фронт армии адмирала А. В. Колчака. [Электронный ресурс]. URL: http//east-front/narod.ru/memo/latchford/htm (дата обращения: 23.08.2007).</w:t>
      </w:r>
    </w:p>
    <w:p w:rsidR="00000000" w:rsidDel="00000000" w:rsidP="00000000" w:rsidRDefault="00000000" w:rsidRPr="00000000" w14:paraId="0000006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Список литературы на английском языке оформляется редакцией в соответствии со стандартом APA:</w:t>
      </w:r>
    </w:p>
    <w:p w:rsidR="00000000" w:rsidDel="00000000" w:rsidP="00000000" w:rsidRDefault="00000000" w:rsidRPr="00000000" w14:paraId="0000007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Standard for references conforms to requirements APA (the American Psychological Association).</w:t>
      </w:r>
    </w:p>
    <w:p w:rsidR="00000000" w:rsidDel="00000000" w:rsidP="00000000" w:rsidRDefault="00000000" w:rsidRPr="00000000" w14:paraId="0000007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транслитерируются: фамилии, инициалы русскоязычных авторов; название журнала (даже если существует параллельное англоязычное название); название издательства.</w:t>
      </w:r>
    </w:p>
    <w:p w:rsidR="00000000" w:rsidDel="00000000" w:rsidP="00000000" w:rsidRDefault="00000000" w:rsidRPr="00000000" w14:paraId="00000072">
      <w:pPr>
        <w:rPr>
          <w:b w:val="1"/>
          <w:color w:val="1c1c1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ced.ru/ru/index.php?option=com_content&amp;view=article&amp;id=829&amp;Itemid=343" TargetMode="External"/><Relationship Id="rId7" Type="http://schemas.openxmlformats.org/officeDocument/2006/relationships/hyperlink" Target="http://www.dessci.com/en/products/mathty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