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от 5 (9000 знаков, включая пробелы) машинописных страниц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44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до 20 (40000 знаков, включая пробелы) машинописных страниц</w:t>
      </w:r>
    </w:p>
    <w:p w:rsidR="00000000" w:rsidDel="00000000" w:rsidP="00000000" w:rsidRDefault="00000000" w:rsidRPr="00000000" w14:paraId="00000004">
      <w:pPr>
        <w:spacing w:after="520" w:line="360" w:lineRule="auto"/>
        <w:ind w:right="440"/>
        <w:rPr>
          <w:i w:val="1"/>
          <w:sz w:val="21"/>
          <w:szCs w:val="21"/>
          <w:shd w:fill="f9f9f9" w:val="clear"/>
        </w:rPr>
      </w:pPr>
      <w:r w:rsidDel="00000000" w:rsidR="00000000" w:rsidRPr="00000000">
        <w:rPr>
          <w:i w:val="1"/>
          <w:sz w:val="21"/>
          <w:szCs w:val="21"/>
          <w:shd w:fill="f9f9f9" w:val="clear"/>
          <w:rtl w:val="0"/>
        </w:rPr>
        <w:t xml:space="preserve">Аннотация (описание целей и задач проведенного исследования, а также возможности его практического применения) – не более 100-150 слов;</w:t>
      </w:r>
    </w:p>
    <w:p w:rsidR="00000000" w:rsidDel="00000000" w:rsidP="00000000" w:rsidRDefault="00000000" w:rsidRPr="00000000" w14:paraId="00000005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Материалы предоставляются в следующем виде: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в редакторе Microsoft Office Word (формат .doc)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шрифт “Times New Roman”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основной текст — кегль 12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интервал 1 (одинарный)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верхнее и нижнее поля — 2,5 см; левое поле — 3 см, правое поле — 1,5 см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44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отступ (абзац) — 1,25 см.</w:t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Порядок расположения (структура) текста: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фамилия и инициалы автора (жирным шрифтом, по центру);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сведения об авторе (ученое звание, ученая степень, место работы/учебы);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название статьи (заглавными буквами, жирным шрифтом, по центру);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аннотация (описание целей и задач проведенного исследования, а также возможности его практического применения);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ключевые слова (3-5 слов) на русском и английском языках;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научный руководитель указывается перед текстом статьи и в качестве соавтора;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основной текст статьи;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44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литература (источники).</w:t>
      </w:r>
    </w:p>
    <w:p w:rsidR="00000000" w:rsidDel="00000000" w:rsidP="00000000" w:rsidRDefault="00000000" w:rsidRPr="00000000" w14:paraId="00000015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</w:rPr>
        <w:drawing>
          <wp:inline distB="114300" distT="114300" distL="114300" distR="114300">
            <wp:extent cx="6332400" cy="3009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Оформление сносок: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сноски (на литературу) проставляются внутри статьи в квадратных скобках после цитаты (сначала указывается номер источника, а затем, после запятой — номер страницы; см. пример оформления сносок);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44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сноски на несколько источников с указанием страниц разделяются между собой точкой с запятой.</w:t>
      </w:r>
    </w:p>
    <w:p w:rsidR="00000000" w:rsidDel="00000000" w:rsidP="00000000" w:rsidRDefault="00000000" w:rsidRPr="00000000" w14:paraId="00000019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Примеры оформления сносок и ссылок: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сноска на один литературный источник с указанием страниц: [4,171].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440" w:lineRule="auto"/>
        <w:ind w:left="1100" w:hanging="360"/>
      </w:pPr>
      <w:r w:rsidDel="00000000" w:rsidR="00000000" w:rsidRPr="00000000">
        <w:rPr>
          <w:sz w:val="21"/>
          <w:szCs w:val="21"/>
          <w:rtl w:val="0"/>
        </w:rPr>
        <w:t xml:space="preserve">сноски на разные литературные источники с указанием страниц: [7,58; 14, 10].</w:t>
      </w:r>
    </w:p>
    <w:p w:rsidR="00000000" w:rsidDel="00000000" w:rsidP="00000000" w:rsidRDefault="00000000" w:rsidRPr="00000000" w14:paraId="0000001C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Все графические материалы в оформлении статьи должны быть черно-белыми.</w:t>
      </w:r>
    </w:p>
    <w:p w:rsidR="00000000" w:rsidDel="00000000" w:rsidP="00000000" w:rsidRDefault="00000000" w:rsidRPr="00000000" w14:paraId="0000001D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В случае необходимости наши специалисты самостоятельно осуществят перевод названия, аннотации и ключевых слов на английский язык.</w:t>
      </w:r>
    </w:p>
    <w:p w:rsidR="00000000" w:rsidDel="00000000" w:rsidP="00000000" w:rsidRDefault="00000000" w:rsidRPr="00000000" w14:paraId="0000001E">
      <w:pPr>
        <w:shd w:fill="ffffff" w:val="clear"/>
        <w:spacing w:after="22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Оформление списка литературы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6332400" cy="191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