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от 8 до 16 страниц формата А4. Если Ваша статья больше, рекомендуется разбить ее на несколько статей.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 редакторе Microsoft Office Word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шрифт «Times New Roman”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основной текст – кегль 14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интервал 1,5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все поля –2 см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отступ (абзац) –1 см.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выравнивание по ширине.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фамилия и инициалы автора (жирным шрифтом, выравнивание по правому краю);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сведения об авторе (ученое звание без сокращений, ученая степень без сокращений, место работы / 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название статьи (заглавными буквами, жирным шрифтом, выравнивание по центру);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аннотация от 150 до 250 слов (описание целей и задач проведенного исследования, а также возможности его практического применения, после списка литературы), выравнивание по ширине;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ключевые слова (6-9 слов), выравнивание по ширине;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основной текст статьи, выравнивание по ширине;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литература (материал должен быть снабжен как минимум одним источником). Список литературы оформляется строго по ГОСТ Р 7.0.5-2008, выравнивание по ширине;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если литературные источники на русском языке, сделать дополнительный список references на транслите (например: http://translit.net/), выравнивание по ширине;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фамилия и инициалы автора на английском языке (жирным шрифтом, выравнивание по правому краю);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сведения об авторе на английском языке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название статьи на английском языке (заглавными буквами, жирным шрифтом, выравнивание по ширине);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аннотация на английском языке от 150 до 250 слов (описание целей и задач проведенного исследования, а также возможности его практического применения, выравнивание по ширине);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ключевые слова на английском (6-9 слов), выравнивание по ширине.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4. Если материал снабжен формулами, они должны быть оформлены при помощи средств Microsoft Word 2003, 2007 для вставки формул либо программой MathType.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5. Редколлегия оставляет за собой право исправлять грубые ошибки и неточности. Перед отправкой текста статьи в издательство, 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