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1. Отступ слева, справа, сверху и снизу – 2 см. Шрифт Times New Roman, размер шрифта – 14 пт, интервал – 1,5.</w:t>
      </w:r>
    </w:p>
    <w:p w:rsidR="00000000" w:rsidDel="00000000" w:rsidP="00000000" w:rsidRDefault="00000000" w:rsidRPr="00000000" w14:paraId="00000002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Буквы латинского алфавита – курсивного начертания, буквы греческого и русского алфавитов, индексы и показатели степени, математические символы lim, Ig, const, sin, cos, min, max и др., числа подобия – прямого начертания.</w:t>
      </w:r>
    </w:p>
    <w:p w:rsidR="00000000" w:rsidDel="00000000" w:rsidP="00000000" w:rsidRDefault="00000000" w:rsidRPr="00000000" w14:paraId="00000003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Обратить внимание на различие знаков: дефис «-», минус «–» и тире «—». Диапазон любых значений (...), кроме периода лет (тире).</w:t>
      </w:r>
    </w:p>
    <w:p w:rsidR="00000000" w:rsidDel="00000000" w:rsidP="00000000" w:rsidRDefault="00000000" w:rsidRPr="00000000" w14:paraId="00000004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2. </w:t>
      </w:r>
      <w:r w:rsidDel="00000000" w:rsidR="00000000" w:rsidRPr="00000000">
        <w:rPr>
          <w:b w:val="1"/>
          <w:color w:val="0081b3"/>
          <w:sz w:val="20"/>
          <w:szCs w:val="20"/>
          <w:rtl w:val="0"/>
        </w:rPr>
        <w:t xml:space="preserve">Набор формул</w:t>
      </w: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. Использовать редактор формул Math Type 5.x либо Equation 3.0, шрифт Times New Roman. Для удобства при верстке формула не должна превышать 8 см. Нумеровать только те формулы, на которые есть ссылки в тексте.</w:t>
      </w:r>
    </w:p>
    <w:p w:rsidR="00000000" w:rsidDel="00000000" w:rsidP="00000000" w:rsidRDefault="00000000" w:rsidRPr="00000000" w14:paraId="00000005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3. </w:t>
      </w:r>
      <w:r w:rsidDel="00000000" w:rsidR="00000000" w:rsidRPr="00000000">
        <w:rPr>
          <w:b w:val="1"/>
          <w:color w:val="0081b3"/>
          <w:sz w:val="20"/>
          <w:szCs w:val="20"/>
          <w:rtl w:val="0"/>
        </w:rPr>
        <w:t xml:space="preserve">Таблицы и рисунки</w:t>
      </w: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 помещать за первой ссылкой на них в тексте, в конце абзаца. Рисунки выполнять на компьютере в виде отдельного файла: в растровом формате TIFF, JPG, BMP (300 dpi); в векторных форматах CDR, EPS; рисунки Word – в формате DOC.</w:t>
      </w:r>
    </w:p>
    <w:p w:rsidR="00000000" w:rsidDel="00000000" w:rsidP="00000000" w:rsidRDefault="00000000" w:rsidRPr="00000000" w14:paraId="00000006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Фотографии выполнять с разрешением не менее 600 dpi.</w:t>
      </w:r>
    </w:p>
    <w:p w:rsidR="00000000" w:rsidDel="00000000" w:rsidP="00000000" w:rsidRDefault="00000000" w:rsidRPr="00000000" w14:paraId="00000007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4. </w:t>
      </w:r>
      <w:r w:rsidDel="00000000" w:rsidR="00000000" w:rsidRPr="00000000">
        <w:rPr>
          <w:b w:val="1"/>
          <w:color w:val="0081b3"/>
          <w:sz w:val="20"/>
          <w:szCs w:val="20"/>
          <w:rtl w:val="0"/>
        </w:rPr>
        <w:t xml:space="preserve">Обозначения, термины и иллюстративный материал</w:t>
      </w: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 привести в соответствие с действующими государственными стандартами.</w:t>
      </w:r>
    </w:p>
    <w:p w:rsidR="00000000" w:rsidDel="00000000" w:rsidP="00000000" w:rsidRDefault="00000000" w:rsidRPr="00000000" w14:paraId="00000008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5. </w:t>
      </w:r>
      <w:r w:rsidDel="00000000" w:rsidR="00000000" w:rsidRPr="00000000">
        <w:rPr>
          <w:b w:val="1"/>
          <w:color w:val="0081b3"/>
          <w:sz w:val="20"/>
          <w:szCs w:val="20"/>
          <w:rtl w:val="0"/>
        </w:rPr>
        <w:t xml:space="preserve">Пристатейный библиографический список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1c1c1c"/>
          <w:sz w:val="20"/>
          <w:szCs w:val="20"/>
          <w:rtl w:val="0"/>
        </w:rPr>
        <w:t xml:space="preserve"> должен быть составлен в соответствии с последовательностью ссылок в тексте и оформлен по ГОСТ Р 7.0.5−2008 (ссылки на источник приводятся в квадратных скобках, в конце предложения перед точкой).</w:t>
      </w:r>
    </w:p>
    <w:p w:rsidR="00000000" w:rsidDel="00000000" w:rsidP="00000000" w:rsidRDefault="00000000" w:rsidRPr="00000000" w14:paraId="00000009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6. Все </w:t>
      </w:r>
      <w:r w:rsidDel="00000000" w:rsidR="00000000" w:rsidRPr="00000000">
        <w:rPr>
          <w:b w:val="1"/>
          <w:color w:val="0081b3"/>
          <w:sz w:val="20"/>
          <w:szCs w:val="20"/>
          <w:rtl w:val="0"/>
        </w:rPr>
        <w:t xml:space="preserve">аббревиатуры </w:t>
      </w: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необходимо пояснить – дать полный текст названия документа, организации, вида работ, процесса и др.</w:t>
      </w:r>
    </w:p>
    <w:p w:rsidR="00000000" w:rsidDel="00000000" w:rsidP="00000000" w:rsidRDefault="00000000" w:rsidRPr="00000000" w14:paraId="0000000A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7. Указать тематическую рубрику (код УДК).</w:t>
      </w:r>
    </w:p>
    <w:p w:rsidR="00000000" w:rsidDel="00000000" w:rsidP="00000000" w:rsidRDefault="00000000" w:rsidRPr="00000000" w14:paraId="0000000B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Рукописи авторам не возвращаются</w:t>
      </w:r>
    </w:p>
    <w:p w:rsidR="00000000" w:rsidDel="00000000" w:rsidP="00000000" w:rsidRDefault="00000000" w:rsidRPr="00000000" w14:paraId="0000000C">
      <w:pPr>
        <w:shd w:fill="ece8e2" w:val="clear"/>
        <w:spacing w:line="360" w:lineRule="auto"/>
        <w:rPr>
          <w:b w:val="1"/>
          <w:color w:val="1c1c1c"/>
          <w:sz w:val="20"/>
          <w:szCs w:val="20"/>
        </w:rPr>
      </w:pPr>
      <w:r w:rsidDel="00000000" w:rsidR="00000000" w:rsidRPr="00000000">
        <w:rPr>
          <w:b w:val="1"/>
          <w:color w:val="1c1c1c"/>
          <w:sz w:val="20"/>
          <w:szCs w:val="20"/>
          <w:rtl w:val="0"/>
        </w:rPr>
        <w:t xml:space="preserve">Плата с аспирантов за публикацию статей не взимается</w:t>
      </w:r>
    </w:p>
    <w:p w:rsidR="00000000" w:rsidDel="00000000" w:rsidP="00000000" w:rsidRDefault="00000000" w:rsidRPr="00000000" w14:paraId="0000000D">
      <w:pPr>
        <w:rPr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