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К статье в отдельном файле прилагается аннотация на русском и английском языках.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Аннотация на русском языке представляет собой краткое точное изложение содержания статьи, включающее основные фактические сведения и выводы описываемой работы, и рассчитана на самый широкий круг читателей.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Аннотация на английском языке должна быть больше русскоязычной аннотации по объему, поскольку она является для иностранных ученых и специалистов единственным источником информации о содержании статьи.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Рекомендуется строить англоязычную аннотацию путем краткого повторения в ней структуры статьи: введение, цели и задачи, методы, результаты, заключение.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При составлении англоязычной аннотации не пользуйтесь автоматическими переводчиками.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Кроме того, в аннотации содержатся ключевые слова, тема и код специальности и сведения об авторах (на русском и английском языках).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В приложенных сведениях об авторах авторы должны указать, какие сведения могут быть опубликованы.</w:t>
      </w:r>
    </w:p>
    <w:tbl>
      <w:tblPr>
        <w:tblStyle w:val="Table1"/>
        <w:tblW w:w="9285.0" w:type="dxa"/>
        <w:jc w:val="left"/>
        <w:tblInd w:w="120.0" w:type="pct"/>
        <w:tblBorders>
          <w:top w:color="dddddd" w:space="0" w:sz="6" w:val="single"/>
          <w:left w:color="000000" w:space="0" w:sz="0" w:val="nil"/>
          <w:bottom w:color="dddddd" w:space="0" w:sz="6" w:val="single"/>
          <w:right w:color="dddddd" w:space="0" w:sz="6" w:val="single"/>
        </w:tblBorders>
        <w:tblLayout w:type="fixed"/>
        <w:tblLook w:val="0600"/>
      </w:tblPr>
      <w:tblGrid>
        <w:gridCol w:w="2235"/>
        <w:gridCol w:w="7050"/>
        <w:tblGridChange w:id="0">
          <w:tblGrid>
            <w:gridCol w:w="2235"/>
            <w:gridCol w:w="7050"/>
          </w:tblGrid>
        </w:tblGridChange>
      </w:tblGrid>
      <w:tr>
        <w:trPr>
          <w:trHeight w:val="1005" w:hRule="atLeast"/>
        </w:trPr>
        <w:tc>
          <w:tcPr>
            <w:tcBorders>
              <w:top w:color="000000" w:space="0" w:sz="0" w:val="nil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Объем аннотации на русском языке</w:t>
            </w:r>
          </w:p>
        </w:tc>
        <w:tc>
          <w:tcPr>
            <w:tcBorders>
              <w:top w:color="000000" w:space="0" w:sz="0" w:val="nil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порядка 100 слов</w:t>
            </w:r>
          </w:p>
        </w:tc>
      </w:tr>
      <w:tr>
        <w:trPr>
          <w:trHeight w:val="1275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Объем аннотации на английском языке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100–250 слов</w:t>
            </w:r>
          </w:p>
        </w:tc>
      </w:tr>
      <w:tr>
        <w:trPr>
          <w:trHeight w:val="51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shd w:fill="f5f5f5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Ключевые слова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shd w:fill="f5f5f5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5–10 слов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Код (коды) специальности статьи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64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по ВАКовской классификации</w:t>
            </w:r>
          </w:p>
          <w:p w:rsidR="00000000" w:rsidDel="00000000" w:rsidP="00000000" w:rsidRDefault="00000000" w:rsidRPr="00000000" w14:paraId="00000010">
            <w:pPr>
              <w:spacing w:line="26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(см. </w:t>
            </w:r>
            <w:hyperlink r:id="rId6">
              <w:r w:rsidDel="00000000" w:rsidR="00000000" w:rsidRPr="00000000">
                <w:rPr>
                  <w:color w:val="1a7de6"/>
                  <w:sz w:val="24"/>
                  <w:szCs w:val="24"/>
                  <w:u w:val="single"/>
                  <w:rtl w:val="0"/>
                </w:rPr>
                <w:t xml:space="preserve">коды тематики журнала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6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Сведения об авторах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6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 полностью, ученая степень/звание, место работы/учебы, должность, контактный телефон, почтовый и электронный адреса</w:t>
            </w:r>
          </w:p>
        </w:tc>
      </w:tr>
    </w:tbl>
    <w:p w:rsidR="00000000" w:rsidDel="00000000" w:rsidP="00000000" w:rsidRDefault="00000000" w:rsidRPr="00000000" w14:paraId="00000013">
      <w:pPr>
        <w:rPr>
          <w:color w:val="50505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vdon.ru/ru/magazine/special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