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Ниже указанные требования являются общепринятыми и соответствуют всем нормам и стандартам. Статья может быть отправлена авторам на доработку или отклонена как по формальным, так и по научным признакам. Критериями отбора являются соответствие профилю, новизна, актуальность, оригинальность и обоснованность результатов. Работы, которые не отвечают указанным требованиям, к рассмотрению не принимаются. Не допускается направление в редакцию работ, которые опубликованы и/или приняты к печати в других изданиях.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7ihp8k529ju1" w:id="0"/>
      <w:bookmarkEnd w:id="0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АКТУАЛЬНОСТЬ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– это её востребованность в общественной теории и практике и определяется наличием в науке такой ситуации, которая чаще всего возникает в результате открытия новых фактов, явно не укладывающихся в рамки прежних теоретических и практических представлений. Актуальность исследования заключается так же в обосновании положительного эффекта, который может быть достигнут в результате решения выдвинутой в исследовании научной или практической задачи.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q22s9ipqr6uq" w:id="1"/>
      <w:bookmarkEnd w:id="1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ОТВЕТСТВЕННОСТЬ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Статья будет напечатана в авторской редакции, поэтому она должна быть тщательно подготовлена. Следует помнить, что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 Наличие знака копирайта (©), с указанием автора и текущего года, в конце статьи обязательно.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bxer1knxz0np" w:id="2"/>
      <w:bookmarkEnd w:id="2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ОБЪЕМ СТАТЬИ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От 3 до 25 страниц машинописного текста. Рукописи большего объема принимаются по специальному решению оргкомитета и редколлегии.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4qmyg4uiwbgh" w:id="3"/>
      <w:bookmarkEnd w:id="3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ОРИГИНАЛЬНОСТЬ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Оригинальность статьи по системе http://www.antiplagiat.ru должна быть не менее 65%.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6fwiy71qhnzj" w:id="4"/>
      <w:bookmarkEnd w:id="4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КОЛИЧЕСТВО АВТОРОВ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Количество авторов одной статьи не должно, как правило, превышать 3 человек.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bcafd81kpa1l" w:id="5"/>
      <w:bookmarkEnd w:id="5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Формат текста – Microsoft Word (*.doc, *.docx)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Формат страницы: А4 (210×297 мм);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Ориентация – книжная;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Поля (верхнее, нижнее, левое, правое) по 20 мм;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Шрифт: размер (кегль) — 14;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Тип шрифта: Times New Roman;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Межстрочный интервал – полуторный.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f28o84fr9eih" w:id="6"/>
      <w:bookmarkEnd w:id="6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ОЧЕРЕДНОСТЬ ИЗЛОЖЕНИЯ МАТЕРИАЛА В СТАТЬЕ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1. УДК (Универсальная десятичная классификация).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2. Имя, отчество и фамилии авторов на русском языке.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3. Ученая степень и звание, место работы/ учебы и город.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4. Заглавными буквами название работы на русском языке.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5. Аннотация (не более 500 символов)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6. Ключевые слова (5-7 слов)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7. Пункты 2,3,4,5,6 на английском языке (по желанию)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8. Текст статьи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9. Список использованной литературы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10. Знак копирайта (©), с указанием автора, и года (2020).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3fz8ioyiidi" w:id="7"/>
      <w:bookmarkEnd w:id="7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УДК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1e73be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Присвоение статье индекса УДК обязательно. УДК — это аббревиатура от «Универсальная десятичная классификация» (Universal Decimal Classification). Универсальная десятичная система позволяет обеспечить эффективный поиск информации в области науки, литературы и искусства. УДК можно найти на сайте: </w:t>
      </w:r>
      <w:hyperlink r:id="rId6">
        <w:r w:rsidDel="00000000" w:rsidR="00000000" w:rsidRPr="00000000">
          <w:rPr>
            <w:color w:val="1e73be"/>
            <w:sz w:val="26"/>
            <w:szCs w:val="26"/>
            <w:rtl w:val="0"/>
          </w:rPr>
          <w:t xml:space="preserve">http://teacode.com/online/udc/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u0kimsykg5p3" w:id="8"/>
      <w:bookmarkEnd w:id="8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АННОТАЦИЯ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Аннотация —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 (ГОСТ 7.9-95 СИБИД).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z1rqoygibprn" w:id="9"/>
      <w:bookmarkEnd w:id="9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КЛЮЧЕВЫЕ СЛОВА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Ключевые слова- это слова, которые являются в статье наиболее значимыми и максимально точно характеризуют предмет и область исследования.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отражающие побочную тему. В качестве ключевых слов могут выступать как отдельные слова, так и словосочетания. Обычно достаточно подобрать 5–10 ключевых слов.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j1qq0ssxhpg8" w:id="10"/>
      <w:bookmarkEnd w:id="10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ГРАФИЧЕСКИЙ МАТЕРИАЛ (чертеж, схема, диаграмма, рисунок)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По ГОСТ 7.32-2001 на весь графический материал (чертеж, схему, диаграмму, рисунок и т. п.) в тексте должны быть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Любой графический материал (чертеж, схема, диаграмма, рисунок и т. п.) обозначают словом «Рисунок». Слово «Рисунок» пишется полностью. Используемые в статье изображения должны быть формата: jpg, gif, bmp. Рисунки должны быть вставлены в текст и быть четкими, черно-белыми.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Убедительная просьба не использовать панель рисования MS Word для создания графического материала, т.к. статьи редактируются и вид материала, полученного таких способом, нарушается, что резко увеличивает трудоемкость редактирования. В статьи надо вставлять не сами графические материалы, полученные таким способом, а их скриншоты или изображения, созданные с помощью графических редакторов. Наличие в статье графических материалов, созданных с помощью панели рисования MS Word может являться основанием для отклонения статьи.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</w:rPr>
        <w:drawing>
          <wp:inline distB="114300" distT="114300" distL="114300" distR="114300">
            <wp:extent cx="4292600" cy="2006600"/>
            <wp:effectExtent b="0" l="0" r="0" t="0"/>
            <wp:docPr descr="Требования. Авторам. Статья. Оформление." id="1" name="image1.png"/>
            <a:graphic>
              <a:graphicData uri="http://schemas.openxmlformats.org/drawingml/2006/picture">
                <pic:pic>
                  <pic:nvPicPr>
                    <pic:cNvPr descr="Требования. Авторам. Статья. Оформление.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00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center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Рисунок 1. Объем инвестиций в экономику респ. Башкортостан</w:t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z1z4bfeex3oe" w:id="11"/>
      <w:bookmarkEnd w:id="11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ТАБЛИЦЫ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Таблицы применяют для лучшей наглядности и удобства сравнения числовых значений показателей (параметров, размеров и т. п.). Табличную форму целесообразно применять, если различные показатели могут быть сгруппированы по какому-либо общему признаку (например, физико-химические показатели), а каждый из показателей может иметь два (или более) значения. Таблицы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Слева над таблицей размещают слово «Таблица», выделенное разрядкой. После него приводят номер таблицы. При этом точку после номера таблицы не ставят. Все таблицы нумеруются. Нумерация – сквозная. При необходимости краткого пояснения и/или уточнения содержания таблицы приводят ее наименование, которое записывают с прописной буквы над таблицей после ее номера, отделяя от него тире. При этом точку после наименования таблицы не ставят.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Название таблицы помещают над таблицей слева, без абзацного отступа в одну строку с ее номером через тире. Точка в конце названия не ставится.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right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Таблица 3 — Коэффициенты отражения и пропускания световой волны тонкой металлической пленкой</w:t>
      </w:r>
    </w:p>
    <w:tbl>
      <w:tblPr>
        <w:tblStyle w:val="Table1"/>
        <w:tblW w:w="9972.283464566928" w:type="dxa"/>
        <w:jc w:val="left"/>
        <w:tblInd w:w="120.0" w:type="pct"/>
        <w:tblBorders>
          <w:top w:color="000000" w:space="0" w:sz="7" w:val="single"/>
          <w:left w:color="000000" w:space="0" w:sz="7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1.5564369590277"/>
        <w:gridCol w:w="593.8828862273108"/>
        <w:gridCol w:w="552.641019128192"/>
        <w:gridCol w:w="2128.0803423145308"/>
        <w:gridCol w:w="1748.6551650026374"/>
        <w:gridCol w:w="2136.3287157343543"/>
        <w:gridCol w:w="1831.1388992008751"/>
        <w:tblGridChange w:id="0">
          <w:tblGrid>
            <w:gridCol w:w="981.5564369590277"/>
            <w:gridCol w:w="593.8828862273108"/>
            <w:gridCol w:w="552.641019128192"/>
            <w:gridCol w:w="2128.0803423145308"/>
            <w:gridCol w:w="1748.6551650026374"/>
            <w:gridCol w:w="2136.3287157343543"/>
            <w:gridCol w:w="1831.1388992008751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Металл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пк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п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ТЕ — волна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ТМ — волна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Толщина в X(при К=Т)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Фаза в л(при К=Т)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Толщина в Я(при К=Т)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Фаза в п(при К=Т)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Свинец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3.48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2.01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0.47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Платина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4.26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2.06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520" w:lineRule="auto"/>
              <w:ind w:left="-220" w:right="-220" w:firstLine="0"/>
              <w:rPr>
                <w:color w:val="3a3a3a"/>
                <w:sz w:val="26"/>
                <w:szCs w:val="26"/>
              </w:rPr>
            </w:pPr>
            <w:r w:rsidDel="00000000" w:rsidR="00000000" w:rsidRPr="00000000">
              <w:rPr>
                <w:color w:val="3a3a3a"/>
                <w:sz w:val="26"/>
                <w:szCs w:val="26"/>
                <w:rtl w:val="0"/>
              </w:rPr>
              <w:t xml:space="preserve"> 0.22</w:t>
            </w:r>
          </w:p>
        </w:tc>
      </w:tr>
    </w:tbl>
    <w:p w:rsidR="00000000" w:rsidDel="00000000" w:rsidP="00000000" w:rsidRDefault="00000000" w:rsidRPr="00000000" w14:paraId="0000004E">
      <w:pPr>
        <w:pStyle w:val="Heading4"/>
        <w:keepNext w:val="0"/>
        <w:keepLines w:val="0"/>
        <w:pBdr>
          <w:top w:color="auto" w:space="0" w:sz="0" w:val="none"/>
          <w:left w:color="auto" w:space="10" w:sz="0" w:val="none"/>
          <w:bottom w:color="auto" w:space="0" w:sz="0" w:val="none"/>
          <w:right w:color="auto" w:space="10" w:sz="0" w:val="none"/>
          <w:between w:color="auto" w:space="0" w:sz="0" w:val="none"/>
        </w:pBdr>
        <w:shd w:fill="ffffff" w:val="clear"/>
        <w:spacing w:after="520" w:before="0" w:line="240" w:lineRule="auto"/>
        <w:ind w:left="-220" w:right="-220" w:firstLine="0"/>
        <w:rPr>
          <w:b w:val="1"/>
          <w:color w:val="3a3a3a"/>
          <w:sz w:val="26"/>
          <w:szCs w:val="26"/>
        </w:rPr>
      </w:pPr>
      <w:bookmarkStart w:colFirst="0" w:colLast="0" w:name="_randy8t4u0zf" w:id="12"/>
      <w:bookmarkEnd w:id="12"/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ЛИТЕРАТУРА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«Список использованной литературы:». В тексте обозначается квадратными скобками с указанием номера источника по списку и через запятую – номера страницы, например: [3, с. 111]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Сначала – источники на кириллице, затем – на латинице. Правила описания одинаковы для всех источников, отечественных и иностранных.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Запрещается использовать ссылки-сноски для указания источников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Список литературы оформляется следующим образом: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Непериодические издания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Книга одного автора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Пакшина С.М. Передвижение солей в почве: монография. M.: Наука, 1980. 120 с. Книга двух авторов Сидоркина А.Н., Сидоркин В.Г. Биохимические аспекты травматической болезни и ее осложнений /ФГУ НИИТО. Изд. 2-е, перераб. и доп. Н. Новгород, 2009. 148 с.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Книга трех авторов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Книга четырех и более авторов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Заболевания у коров: диагностика / И.Ф. Ахтямов [и др.]. Казань, 2008. 455 с.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При необходимости, если автор, на которого ссылаются, стоит не первым, можно перечислить за косой чертой всех авторов: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Применение аппарата внешней фиксации при патологии позвоночника / В.И. Шевцов, В.В. Пивень, А.Т. Худяев, Ю.А. Муштаева. М.: Медицина, 2007. 112 с.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Сборники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— практической конференции студентов, аспирантов и молодых ученых(выпуск1). Брянск. 2005. С.97-102.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Книга под заглавием (описание учебников, справочников, монографий, сборников и т.п.)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Эстетическая и реконструктивная хирургия нижних конечностей / под ред. А.А. Артемьева. М.: ГЭОТАР-Медиа, 2008. 248 с. 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перераб. М.: Мед. информ. агентство, 2008. 272 с.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Правильное питание: справочник. М.: Эксмо, 2008. 704 с. Кормопроизводство в России: всероссийский сб. науч. ст. Вып. 3-й. Казань-СПб., 2007. 268 с.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Описание диссертаций, авторефераты диссертаций: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Белозеров И.В. Религиозная политика Золотой Орды на Руси в XIII-XIV вв.: дис. … канд. ист. наук:07.00.02: утв. 15.07.02. М., 2002. 215 с.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автореф. на соиск. ученой степ. канд. пед. наук: 13.00.08 – теория и методика проф. образования М., 2002. 24 с.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Описание отдельного тома многотомного издания под общим заголовком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Пальцев М.А., Аничков М.Н. Патологическая анатомия: в 2 т. М.: Медицина, 2001. Т. 2, ч. 1. 736 с.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Описание отдельного тома многотомного издания под общим заглавием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Внутренние болезни: учебник / под ред. Н.А. Мухина, В.С. Моисеева, А.И. Мартынова. Изд. 2-е, испр. и доп. М.: ГЭОТАР-Медиа, 2008. Т. 1. 368 с.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Описание главы из книги, из сборника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Макушин В.Д., Волокитина Е.А. Причины неудач и осложнений при выполнении опорных остеотомий с применением аппарата Илизарова // Лечение врожденного вывиха бедра у взрослых / под ред. В.И. Шевцова, В.Д. Макушина. Курган, 2004. Гл. 8. С. 372-402.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Белоус Н.М. Храня теплую память о прошлом // Великая Отечественная война 1941-1945 гг. в истории моей семьи: сборник статей / под общей редакцией Р.В. Новожеева. Брянск: Изд-во БГАУ, 2015. С. 4-5.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Описание статей из журналов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Один автор: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Просянников Е.В. Устройство для отделения образцов почвы от растительных остатков//Почвоведение. 1979. №11. С. 162-164.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Два автора: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Просянников Е.В., Карпенчук Г.К. Активность ионов кальция в почвах Приднестровья Украины как показатель их хлорозоопасности для яблоневых садов // Почвоведение. 1982. № 9. С. 116-121.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Три автора: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Сазонова Н.В., Лунева С.Н., Стогов М.В. Динамика биохимических показателей сыворотки крови приамбулаторном лечении // Вестн. травматологии и ортопедии им. Н.Н. Приорова. 2008. № 3. С. 52-56.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Четыре и более авторов: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Клинико-физиологические составляющие врожденной косолапости / Ю.И. Клычкова [и др.] // Травматология и ортопедия России. 2008. № 3. С. 35-38.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Оценка кровоснабжения методом ультразвуковой диагностики / В.А. Щуров, С.О. Мурадисинов, И.В. Щуров, С.П. Бойчук // Травматология и ортопедия России. 2008. № 3. С. 39-41.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Описание нормативных документов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Авторское свидетельство: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Способ лечения ложных суставов: а. с. 835421 СССР. № 2764100/28-13 / Иванов И.И.; заявл. 07.05.79 ; опубл. 07.06.81, Бюл. 21. 2 с.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Патент: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Корригирующее устройство для позвоночного столба: пат. 2128021 Рос. Федерация. № 97101617/14 / Иванов И.И ; заявл. 31.01.97 ; опубл. 27.03.99, Бюл. № 9. 3 с. ГОСТ: ГОСТ Р 7.0.5-2008.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Библиографическая ссылка.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Общие требования и правила составления. М.: Стандартинформ, 2008. 38 с.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Описание официальных документов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Федеральный закон: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 лицензировании отдельных видов деятельности: Федер. закон [принят Гос. Думой 13. 07.2001] // Собрание законодательств РФ. 2001. № 33(ч.1). Ст. 3430. С. 127-143.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Постановление: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 программе государственных гарантий оказания гражданам Российской Федерации бесплатной медицинской помощи на 2009 год : постановление Правительства Рос. Федерации от 31.12.2008 № 10407- ТГ // Заместитель гл. врача. 2009. № 2. С. 98-105.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Приказ: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Федерации от 1 августа 2007 г. № 514 : приказ М-ва здравоохранения и соц. развития Рос. Федерации от 27.10.2008 № 593н // Заместитель гл. врача. 2009. № 2. С. 131-132.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Инструкция: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Инструкция о санитарно-противоэпидемическом режиме больниц: утв. Минздравом СССР от 23.03.76 № 288 // Справочник старшей (главной) медицинской сестры. Изд. 6-е, Ростов н/Д.: Феникс, 2007. С. 378-387.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Указ: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0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Вопросы системы и структуры федеральных органов исполнительной власти (извлечения): указ Президента РФ от 12.05.2008 № 724 // Здравоохранение. 2008. № 7. С. 135-137.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b w:val="1"/>
          <w:color w:val="3a3a3a"/>
          <w:sz w:val="26"/>
          <w:szCs w:val="26"/>
        </w:rPr>
      </w:pPr>
      <w:r w:rsidDel="00000000" w:rsidR="00000000" w:rsidRPr="00000000">
        <w:rPr>
          <w:b w:val="1"/>
          <w:color w:val="3a3a3a"/>
          <w:sz w:val="26"/>
          <w:szCs w:val="26"/>
          <w:rtl w:val="0"/>
        </w:rPr>
        <w:t xml:space="preserve">Описание электронных ресурсов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Электронный ресурс локального доступа: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Техника спинальной анестезии [Электронный ресурс] / под ред. Е.М. Шифмана. М.: ИнтелТек, 2005. 1 электрон. опт. диск (CD-ROM).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i w:val="1"/>
          <w:color w:val="3a3a3a"/>
          <w:sz w:val="26"/>
          <w:szCs w:val="26"/>
        </w:rPr>
      </w:pPr>
      <w:r w:rsidDel="00000000" w:rsidR="00000000" w:rsidRPr="00000000">
        <w:rPr>
          <w:i w:val="1"/>
          <w:color w:val="3a3a3a"/>
          <w:sz w:val="26"/>
          <w:szCs w:val="26"/>
          <w:rtl w:val="0"/>
        </w:rPr>
        <w:t xml:space="preserve">   – – Электронный ресурс удаленного доступа: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О развитии малого и среднего предпринимательства в Российской Федерации: федер. закон от 24 июня 2007 г. N209-ФЗ (с изм. и доп.). Доступ из справ. -правовой системы «Гарант».Источник: http://referat.niv.ru/view/referat-other/259/258992.htm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Rule="auto"/>
        <w:ind w:left="-220" w:right="-220" w:firstLine="0"/>
        <w:jc w:val="both"/>
        <w:rPr>
          <w:color w:val="3a3a3a"/>
          <w:sz w:val="26"/>
          <w:szCs w:val="26"/>
        </w:rPr>
      </w:pPr>
      <w:r w:rsidDel="00000000" w:rsidR="00000000" w:rsidRPr="00000000">
        <w:rPr>
          <w:color w:val="3a3a3a"/>
          <w:sz w:val="26"/>
          <w:szCs w:val="26"/>
          <w:rtl w:val="0"/>
        </w:rPr>
        <w:t xml:space="preserve">Травин Андрей. Три поисковика Рунета, не считая Google [Электронный ресурс]. – Режим доступа: http://www.netoskop.ru/theme/2001/06/21/2662.html, свободный. – (дата обращения: 21.08.2002).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1212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