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Рукописи должны предоставляться в печатном виде, в одном экземпляре на русском языке в комплекте с направлением от всех учреждений, в которых выполнена работа, актом экспертной комиссии и полной электронной версией (в одном файле с размещением таблиц и рисунков сразу после упоминания о них в тексте). Последнюю страницу должны подписывать все авторы.</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Размер рукописи статьи (без учета резюме и списка литературы), посвященной изложению результатов экспериментов, 12…16 страниц (для обзоров не более 20 страниц) текста, отпечатанного на компьютере (14 шрифтом Times New Roman) через 1,5 интервала (формат А4, поля по 20 мм). Все страницы должны быть пронумерованы.</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Электронная версия набирается в редакторе Word версии не ниже 97. «Жесткие» концы строк при наборе применяются только для разделения абзацев, текст формируется без переносов, лишних пробелов и использования специальных стилей, шаблонов и макрокоманд.</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Работы, направляемые в журнал, должны быть изложены в сжатой форме и в определенной последовательности.</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В начале статьи указываются: код по Универсальной десятичной классификации (УДК); название; инициалы, фамилии, ученые степени и должности авторов; полное название учреждений, в которых выполняли исследование, контактный электронный адрес хотя бы одного из авторов. Принадлежность каждого соавтора тому или иному учреждению отмечается соответствующей цифрой, если все соавторы из одного учреждения цифры не ставятся:</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i w:val="1"/>
          <w:color w:val="303b3b"/>
          <w:sz w:val="28"/>
          <w:szCs w:val="28"/>
        </w:rPr>
      </w:pPr>
      <w:r w:rsidDel="00000000" w:rsidR="00000000" w:rsidRPr="00000000">
        <w:rPr>
          <w:i w:val="1"/>
          <w:color w:val="303b3b"/>
          <w:sz w:val="28"/>
          <w:szCs w:val="28"/>
          <w:rtl w:val="0"/>
        </w:rPr>
        <w:t xml:space="preserve">УДК 631.</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Агроклиматические ресурсы Костромской области</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И.И. Иванов</w:t>
      </w:r>
      <w:r w:rsidDel="00000000" w:rsidR="00000000" w:rsidRPr="00000000">
        <w:rPr>
          <w:color w:val="303b3b"/>
          <w:sz w:val="28"/>
          <w:szCs w:val="28"/>
          <w:vertAlign w:val="superscript"/>
          <w:rtl w:val="0"/>
        </w:rPr>
        <w:t xml:space="preserve">1</w:t>
      </w:r>
      <w:r w:rsidDel="00000000" w:rsidR="00000000" w:rsidRPr="00000000">
        <w:rPr>
          <w:color w:val="303b3b"/>
          <w:sz w:val="28"/>
          <w:szCs w:val="28"/>
          <w:rtl w:val="0"/>
        </w:rPr>
        <w:t xml:space="preserve">, доктор сельскохозяйственных наук, зав. отделом</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П.П. Петров</w:t>
      </w:r>
      <w:r w:rsidDel="00000000" w:rsidR="00000000" w:rsidRPr="00000000">
        <w:rPr>
          <w:color w:val="303b3b"/>
          <w:sz w:val="28"/>
          <w:szCs w:val="28"/>
          <w:vertAlign w:val="superscript"/>
          <w:rtl w:val="0"/>
        </w:rPr>
        <w:t xml:space="preserve">2</w:t>
      </w:r>
      <w:r w:rsidDel="00000000" w:rsidR="00000000" w:rsidRPr="00000000">
        <w:rPr>
          <w:color w:val="303b3b"/>
          <w:sz w:val="28"/>
          <w:szCs w:val="28"/>
          <w:rtl w:val="0"/>
        </w:rPr>
        <w:t xml:space="preserve">, кандидат биологических наук, доцент</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i w:val="1"/>
          <w:color w:val="303b3b"/>
          <w:sz w:val="28"/>
          <w:szCs w:val="28"/>
        </w:rPr>
      </w:pPr>
      <w:r w:rsidDel="00000000" w:rsidR="00000000" w:rsidRPr="00000000">
        <w:rPr>
          <w:i w:val="1"/>
          <w:color w:val="303b3b"/>
          <w:sz w:val="46"/>
          <w:szCs w:val="46"/>
          <w:vertAlign w:val="superscript"/>
          <w:rtl w:val="0"/>
        </w:rPr>
        <w:t xml:space="preserve">1</w:t>
      </w:r>
      <w:r w:rsidDel="00000000" w:rsidR="00000000" w:rsidRPr="00000000">
        <w:rPr>
          <w:i w:val="1"/>
          <w:color w:val="303b3b"/>
          <w:sz w:val="28"/>
          <w:szCs w:val="28"/>
          <w:rtl w:val="0"/>
        </w:rPr>
        <w:t xml:space="preserve"> Костромской НИИСХ Россельхозакадемии</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i w:val="1"/>
          <w:color w:val="303b3b"/>
          <w:sz w:val="28"/>
          <w:szCs w:val="28"/>
        </w:rPr>
      </w:pPr>
      <w:r w:rsidDel="00000000" w:rsidR="00000000" w:rsidRPr="00000000">
        <w:rPr>
          <w:i w:val="1"/>
          <w:color w:val="303b3b"/>
          <w:sz w:val="46"/>
          <w:szCs w:val="46"/>
          <w:vertAlign w:val="superscript"/>
          <w:rtl w:val="0"/>
        </w:rPr>
        <w:t xml:space="preserve">2</w:t>
      </w:r>
      <w:r w:rsidDel="00000000" w:rsidR="00000000" w:rsidRPr="00000000">
        <w:rPr>
          <w:i w:val="1"/>
          <w:color w:val="303b3b"/>
          <w:sz w:val="28"/>
          <w:szCs w:val="28"/>
          <w:rtl w:val="0"/>
        </w:rPr>
        <w:t xml:space="preserve"> Костромская ГСХА</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E-mail: abcde@list.ru</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Очень внимательно отнеситесь к названию. Оно должно быть коротким (8-10 слов), но при этом четко отражать суть работы, содержать ключевые слова и привлекать внимание читателя, ведь запросы на статьи поступают в первую очередь по названию, поэтому точно сформулированное название увеличивает вероятность их прочтения и цитирования.</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После этого следует реферат и ключевые слова. Реферат (как на русском, так и на английском языке) нужно рассматривать не как приложение к статье, а как самостоятельный законченный материал, основанный на сведениях, изложенных в работе. Размер реферата размером 200…250 слов. В реферате не должно быть общих и пустых фраз. Нужно коротко и ёмко отразить цель исследований, привести оригинальную часть методики с указанием условий проведения опытов (регион, годы, в растениеводстве – тип почвы, в животноводстве – породы и объем выборки и др.), результаты и их интерпретацию (обязательно с количественными данными), сформулировать выводы. Не следует давать ссылки и обсуждать литературные данные. Вводимые в реферат сокращения и условные обозначения должны быть здесь же расшифрованы. При этом следует учитывать, что основная цель реферата – показать результаты собственных исследований (с использованием цифрового материала(!)), условия и схемы экспериментов, в которых они получены, а не актуальность этих работ.</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После резюме приводятся 6-10 ключевых слов, затем с новой строки (при необходимости) сведения об источнике финансирования со знаком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B рукописи необходимо сжато и четко изложить современное состояние изученности проблемы; сформулировать конкретную цель исследований, которая будет раскрыта в последующем тексте; отразить методику исследований и схему эксперимента (-ов); изложить и проанализировать полученные данные. Текст рекомендуется излагать в прошедшем времени без возвратной формы глагола. Структура статьи должна быть разбита на логично взаимосвязанные разделы с использованием следующих подзаголовков: «Введение», «Цель исследований», «Условия, материалы и методы», «Результаты и обсуждение», «Выводы», «Литература». Подзаголовки разделов набираются в начале первого абзаца соответствующего раздела прямым полужирным шрифтом.</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Цель «Введения» - краткое теоретическое обоснование проведения исследования, отражение предмета исследования и современного состояния изучаемой проблемы; демонстрация принципиально важных аспектов, остающихся неизвестными, и актуальности их исследования. В конце раздела ставятся цель и задачи исследования. Они должны быть сформулированы кратко, точно и направлены на выяснение причинно-следственных связей явлений. Формулировку цели работы не следует подменять перечнем использованных методов, измеренных показателей и формулировкой основного результата.</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Раздел «Условия, материалы и методы» содержит сведения об объекте, месте, времени и условиях проведения исследования, о схеме (ах) опыта (ов) и последовательности действий при его (их) проведении, об аналитических методах, использованных приборах и реактивах. Вся эта информация должна быть изложена достаточно полно для возможности точного воспроизведения экспериментов. Кроме стандартных, общепринятых и часто употребляемых методов рекомендуется давать краткое изложение процедуры анализа или его принцип. В конце методического раздела необходимо дать статистические сведения о представленных результатах (повторность опытов, методы статистической обработки, что означает плюс/минус в таблицах и отклонение от средней на графиках: стандартную ошибку или стандартное отклонение и др.) </w:t>
      </w:r>
      <w:hyperlink r:id="rId6">
        <w:r w:rsidDel="00000000" w:rsidR="00000000" w:rsidRPr="00000000">
          <w:rPr>
            <w:color w:val="829b9a"/>
            <w:sz w:val="28"/>
            <w:szCs w:val="28"/>
            <w:rtl w:val="0"/>
          </w:rPr>
          <w:t xml:space="preserve">(Рекомендации по использованию и описанию методов статистики)</w:t>
        </w:r>
      </w:hyperlink>
      <w:r w:rsidDel="00000000" w:rsidR="00000000" w:rsidRPr="00000000">
        <w:rPr>
          <w:color w:val="303b3b"/>
          <w:sz w:val="28"/>
          <w:szCs w:val="28"/>
          <w:rtl w:val="0"/>
        </w:rPr>
        <w:t xml:space="preserve">.</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Изложение экспериментального материала в разделе «Результаты и обсуждение» должно заключаться не в пересказе содержания таблиц и графиков, а в акцентировании внимания читателей на характере и закономерностях представленных результатов. Результаты должны быть обработаны и оценены с применением статистических методов.</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Задача «Обсуждения» – обобщение и объяснение (интерпретация) результатов. Рекомендуется обсуждать не только отдельные полученные эффекты, но и всю их совокупность в целом, вскрывая причинно-следственные связи между ними. Авторы должны сравнить полученную информацию с имеющейся в литературе и дать свою трактовку сути и научной значимости вытекающих из представленных материалов выводов. Обсуждение следует завершать максимально четкой формулировкой основных выводов вытекающих непосредственно из полученных результатов и отвечающих на вопросы, сформулированные в цели и задачах исследований.</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Точка не ставится после: УДК, заглавия статьи, авторов, адресов, названий таблиц, размерностей (с – секунда, г – грамм, ч – час, град – градус), в подстрочных индексах.</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Точка ставится после: сносок (в том числе в таблицах), примечаний к таблице, подписей к рисункам, реферата, ключевых слов, сокращений (нед. – неделя, мес. – месяц, мин. – минута, сут. – сутки, г. – год, млн. – миллион, но в случае прочтения как миллионов, миллиона и др. – млн пишется без точки).</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Для сложных размерностей допускается использование как отрицательных степеней (15 мкг л</w:t>
      </w:r>
      <w:r w:rsidDel="00000000" w:rsidR="00000000" w:rsidRPr="00000000">
        <w:rPr>
          <w:rFonts w:ascii="Cardo" w:cs="Cardo" w:eastAsia="Cardo" w:hAnsi="Cardo"/>
          <w:color w:val="303b3b"/>
          <w:sz w:val="46"/>
          <w:szCs w:val="46"/>
          <w:vertAlign w:val="superscript"/>
          <w:rtl w:val="0"/>
        </w:rPr>
        <w:t xml:space="preserve">⎯</w:t>
      </w:r>
      <w:r w:rsidDel="00000000" w:rsidR="00000000" w:rsidRPr="00000000">
        <w:rPr>
          <w:color w:val="303b3b"/>
          <w:sz w:val="46"/>
          <w:szCs w:val="46"/>
          <w:vertAlign w:val="superscript"/>
          <w:rtl w:val="0"/>
        </w:rPr>
        <w:t xml:space="preserve">1</w:t>
      </w:r>
      <w:r w:rsidDel="00000000" w:rsidR="00000000" w:rsidRPr="00000000">
        <w:rPr>
          <w:color w:val="303b3b"/>
          <w:sz w:val="28"/>
          <w:szCs w:val="28"/>
          <w:rtl w:val="0"/>
        </w:rPr>
        <w:t xml:space="preserve"> · сут</w:t>
      </w:r>
      <w:r w:rsidDel="00000000" w:rsidR="00000000" w:rsidRPr="00000000">
        <w:rPr>
          <w:rFonts w:ascii="Cardo" w:cs="Cardo" w:eastAsia="Cardo" w:hAnsi="Cardo"/>
          <w:color w:val="303b3b"/>
          <w:sz w:val="46"/>
          <w:szCs w:val="46"/>
          <w:vertAlign w:val="superscript"/>
          <w:rtl w:val="0"/>
        </w:rPr>
        <w:t xml:space="preserve">⎯</w:t>
      </w:r>
      <w:r w:rsidDel="00000000" w:rsidR="00000000" w:rsidRPr="00000000">
        <w:rPr>
          <w:color w:val="303b3b"/>
          <w:sz w:val="46"/>
          <w:szCs w:val="46"/>
          <w:vertAlign w:val="superscript"/>
          <w:rtl w:val="0"/>
        </w:rPr>
        <w:t xml:space="preserve">1</w:t>
      </w:r>
      <w:r w:rsidDel="00000000" w:rsidR="00000000" w:rsidRPr="00000000">
        <w:rPr>
          <w:color w:val="303b3b"/>
          <w:sz w:val="28"/>
          <w:szCs w:val="28"/>
          <w:rtl w:val="0"/>
        </w:rPr>
        <w:t xml:space="preserve">, так и скобок (12 мкг/(м</w:t>
      </w:r>
      <w:r w:rsidDel="00000000" w:rsidR="00000000" w:rsidRPr="00000000">
        <w:rPr>
          <w:color w:val="303b3b"/>
          <w:sz w:val="28"/>
          <w:szCs w:val="28"/>
          <w:vertAlign w:val="superscript"/>
          <w:rtl w:val="0"/>
        </w:rPr>
        <w:t xml:space="preserve">2</w:t>
      </w:r>
      <w:r w:rsidDel="00000000" w:rsidR="00000000" w:rsidRPr="00000000">
        <w:rPr>
          <w:color w:val="303b3b"/>
          <w:sz w:val="28"/>
          <w:szCs w:val="28"/>
          <w:rtl w:val="0"/>
        </w:rPr>
        <w:t xml:space="preserve"> сут)) при обязательном соблюдении единообразия написания одинаковых размерностей по статье. В числовых интервалах («от–до») ставится не дефис, а многоточие (5…8 м). Исключение составляют интервалы между годами (1975-1999) в этом случае ставится не дефис, а тире.</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Все единицы измерения за исключением процентов, промилле и градусов отделяются от цифр пробелами.</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В работе необходимо использовать физические единицы и обозначения, принятые в Международной системе СИ. Транскрипция географических названий должна соответствовать современному звучанию.</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При описании видового состава растительности необходимо приводить русские и латинские названия. При упоминании в первый раз указывается полное название на латинском языке с фамилиями авторов, описавших (переописавших) вид с учетом современного уровня систематики, при повторном упоминании – название рода одной буквой, вида, подвида – полностью, строчными буквами.</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rFonts w:ascii="Arial Unicode MS" w:cs="Arial Unicode MS" w:eastAsia="Arial Unicode MS" w:hAnsi="Arial Unicode MS"/>
          <w:color w:val="303b3b"/>
          <w:sz w:val="28"/>
          <w:szCs w:val="28"/>
          <w:rtl w:val="0"/>
        </w:rPr>
        <w:t xml:space="preserve">При описании микроорганизмов указываются: в первый раз − полное название на латинском языке с фамилиями авторов, описавших (переописавших) вид с учетом современного уровня систематики, при отсутствии видового эпитета ставится sp., а при повторном упоминании – название рода одной буквой, вида, подвида – полностью, строчными буквами. Указывается, откуда штамм поступил к автору статьи.</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Допускаются общепринятые сокращения (</w:t>
      </w:r>
      <w:hyperlink r:id="rId7">
        <w:r w:rsidDel="00000000" w:rsidR="00000000" w:rsidRPr="00000000">
          <w:rPr>
            <w:color w:val="0070c0"/>
            <w:sz w:val="28"/>
            <w:szCs w:val="28"/>
            <w:rtl w:val="0"/>
          </w:rPr>
          <w:t xml:space="preserve">перечень сокращений, принятых в журнале</w:t>
        </w:r>
      </w:hyperlink>
      <w:r w:rsidDel="00000000" w:rsidR="00000000" w:rsidRPr="00000000">
        <w:rPr>
          <w:color w:val="303b3b"/>
          <w:sz w:val="28"/>
          <w:szCs w:val="28"/>
          <w:rtl w:val="0"/>
        </w:rPr>
        <w:t xml:space="preserve">). Другие сокращения и аббревиатуры следует использовать только в том случае, если слово или словосочетание громоздки и употребляются часто. Расшифровка сокращения дается при первом упоминании в реферате и основном тексте.</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При оформлении формул рекомендуется соблюдать следующие правила:</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200" w:before="200" w:lineRule="auto"/>
        <w:rPr>
          <w:color w:val="303b3b"/>
          <w:sz w:val="28"/>
          <w:szCs w:val="28"/>
        </w:rPr>
      </w:pPr>
      <w:r w:rsidDel="00000000" w:rsidR="00000000" w:rsidRPr="00000000">
        <w:rPr>
          <w:color w:val="303b3b"/>
          <w:sz w:val="28"/>
          <w:szCs w:val="28"/>
          <w:rtl w:val="0"/>
        </w:rPr>
        <w:t xml:space="preserve">уравнения химических реакций и математические формулы печатаются с новой строки, а если в работе имеется несколько уравнений, то в конце строки они нумеруются в круглых скобках;</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все формулы, а также буквенные обозначения одновременно с верхним и нижним индексом (a</w:t>
      </w:r>
      <w:r w:rsidDel="00000000" w:rsidR="00000000" w:rsidRPr="00000000">
        <w:rPr>
          <w:color w:val="303b3b"/>
          <w:sz w:val="28"/>
          <w:szCs w:val="28"/>
          <w:vertAlign w:val="subscript"/>
          <w:rtl w:val="0"/>
        </w:rPr>
        <w:t xml:space="preserve">i</w:t>
      </w:r>
      <w:r w:rsidDel="00000000" w:rsidR="00000000" w:rsidRPr="00000000">
        <w:rPr>
          <w:color w:val="303b3b"/>
          <w:sz w:val="28"/>
          <w:szCs w:val="28"/>
          <w:vertAlign w:val="superscript"/>
          <w:rtl w:val="0"/>
        </w:rPr>
        <w:t xml:space="preserve">n</w:t>
      </w:r>
      <w:r w:rsidDel="00000000" w:rsidR="00000000" w:rsidRPr="00000000">
        <w:rPr>
          <w:color w:val="303b3b"/>
          <w:sz w:val="28"/>
          <w:szCs w:val="28"/>
          <w:rtl w:val="0"/>
        </w:rPr>
        <w:t xml:space="preserve">) должны быть набраны на компьютере во встроенном в Word редакторе формул, буквенные обозначения без индекса или только с одним индексом (</w:t>
      </w:r>
      <w:r w:rsidDel="00000000" w:rsidR="00000000" w:rsidRPr="00000000">
        <w:rPr>
          <w:i w:val="1"/>
          <w:color w:val="303b3b"/>
          <w:sz w:val="28"/>
          <w:szCs w:val="28"/>
          <w:rtl w:val="0"/>
        </w:rPr>
        <w:t xml:space="preserve">a</w:t>
      </w:r>
      <w:r w:rsidDel="00000000" w:rsidR="00000000" w:rsidRPr="00000000">
        <w:rPr>
          <w:i w:val="1"/>
          <w:color w:val="303b3b"/>
          <w:sz w:val="28"/>
          <w:szCs w:val="28"/>
          <w:vertAlign w:val="subscript"/>
          <w:rtl w:val="0"/>
        </w:rPr>
        <w:t xml:space="preserve">i</w:t>
      </w:r>
      <w:r w:rsidDel="00000000" w:rsidR="00000000" w:rsidRPr="00000000">
        <w:rPr>
          <w:color w:val="303b3b"/>
          <w:sz w:val="28"/>
          <w:szCs w:val="28"/>
          <w:rtl w:val="0"/>
        </w:rPr>
        <w:t xml:space="preserve">, </w:t>
      </w:r>
      <w:r w:rsidDel="00000000" w:rsidR="00000000" w:rsidRPr="00000000">
        <w:rPr>
          <w:i w:val="1"/>
          <w:color w:val="303b3b"/>
          <w:sz w:val="28"/>
          <w:szCs w:val="28"/>
          <w:rtl w:val="0"/>
        </w:rPr>
        <w:t xml:space="preserve">b</w:t>
      </w:r>
      <w:r w:rsidDel="00000000" w:rsidR="00000000" w:rsidRPr="00000000">
        <w:rPr>
          <w:i w:val="1"/>
          <w:color w:val="303b3b"/>
          <w:sz w:val="28"/>
          <w:szCs w:val="28"/>
          <w:vertAlign w:val="superscript"/>
          <w:rtl w:val="0"/>
        </w:rPr>
        <w:t xml:space="preserve">n</w:t>
      </w:r>
      <w:r w:rsidDel="00000000" w:rsidR="00000000" w:rsidRPr="00000000">
        <w:rPr>
          <w:color w:val="303b3b"/>
          <w:sz w:val="28"/>
          <w:szCs w:val="28"/>
          <w:rtl w:val="0"/>
        </w:rPr>
        <w:t xml:space="preserve">) набираются в обычном режиме;</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переменные величины и латинские названия даются курсивом, постоянные величины, включая верхние и нижние индексы – прямо. Математические символы типа sin, sh, Re, ind, dim, lim, inf, log, max, exp, нуль, а также химические элементы набираются прямо (не </w:t>
      </w:r>
      <w:r w:rsidDel="00000000" w:rsidR="00000000" w:rsidRPr="00000000">
        <w:rPr>
          <w:i w:val="1"/>
          <w:color w:val="303b3b"/>
          <w:sz w:val="28"/>
          <w:szCs w:val="28"/>
          <w:rtl w:val="0"/>
        </w:rPr>
        <w:t xml:space="preserve">курсивом</w:t>
      </w:r>
      <w:r w:rsidDel="00000000" w:rsidR="00000000" w:rsidRPr="00000000">
        <w:rPr>
          <w:color w:val="303b3b"/>
          <w:sz w:val="28"/>
          <w:szCs w:val="28"/>
          <w:rtl w:val="0"/>
        </w:rPr>
        <w:t xml:space="preserve">). В качестве символа умножения используется только «´» (не «х»): 1 ´ 10 моль/л. Символ «</w:t>
      </w:r>
      <w:r w:rsidDel="00000000" w:rsidR="00000000" w:rsidRPr="00000000">
        <w:rPr>
          <w:rFonts w:ascii="Gungsuh" w:cs="Gungsuh" w:eastAsia="Gungsuh" w:hAnsi="Gungsuh"/>
          <w:color w:val="303b3b"/>
          <w:sz w:val="28"/>
          <w:szCs w:val="28"/>
          <w:rtl w:val="0"/>
        </w:rPr>
        <w:t xml:space="preserve">⋅</w:t>
      </w:r>
      <w:r w:rsidDel="00000000" w:rsidR="00000000" w:rsidRPr="00000000">
        <w:rPr>
          <w:color w:val="303b3b"/>
          <w:sz w:val="28"/>
          <w:szCs w:val="28"/>
          <w:rtl w:val="0"/>
        </w:rPr>
        <w:t xml:space="preserve">» применяется только в скалярных произведениях (а </w:t>
      </w:r>
      <w:r w:rsidDel="00000000" w:rsidR="00000000" w:rsidRPr="00000000">
        <w:rPr>
          <w:rFonts w:ascii="Gungsuh" w:cs="Gungsuh" w:eastAsia="Gungsuh" w:hAnsi="Gungsuh"/>
          <w:color w:val="303b3b"/>
          <w:sz w:val="28"/>
          <w:szCs w:val="28"/>
          <w:rtl w:val="0"/>
        </w:rPr>
        <w:t xml:space="preserve">⋅</w:t>
      </w:r>
      <w:r w:rsidDel="00000000" w:rsidR="00000000" w:rsidRPr="00000000">
        <w:rPr>
          <w:color w:val="303b3b"/>
          <w:sz w:val="28"/>
          <w:szCs w:val="28"/>
          <w:rtl w:val="0"/>
        </w:rPr>
        <w:t xml:space="preserve"> в) и химических формулах (CuSO</w:t>
      </w:r>
      <w:r w:rsidDel="00000000" w:rsidR="00000000" w:rsidRPr="00000000">
        <w:rPr>
          <w:color w:val="303b3b"/>
          <w:sz w:val="28"/>
          <w:szCs w:val="28"/>
          <w:vertAlign w:val="subscript"/>
          <w:rtl w:val="0"/>
        </w:rPr>
        <w:t xml:space="preserve">4</w:t>
      </w:r>
      <w:r w:rsidDel="00000000" w:rsidR="00000000" w:rsidRPr="00000000">
        <w:rPr>
          <w:color w:val="303b3b"/>
          <w:sz w:val="28"/>
          <w:szCs w:val="28"/>
          <w:rtl w:val="0"/>
        </w:rPr>
        <w:t xml:space="preserve"> </w:t>
      </w:r>
      <w:r w:rsidDel="00000000" w:rsidR="00000000" w:rsidRPr="00000000">
        <w:rPr>
          <w:rFonts w:ascii="Gungsuh" w:cs="Gungsuh" w:eastAsia="Gungsuh" w:hAnsi="Gungsuh"/>
          <w:color w:val="303b3b"/>
          <w:sz w:val="28"/>
          <w:szCs w:val="28"/>
          <w:rtl w:val="0"/>
        </w:rPr>
        <w:t xml:space="preserve">⋅</w:t>
      </w:r>
      <w:r w:rsidDel="00000000" w:rsidR="00000000" w:rsidRPr="00000000">
        <w:rPr>
          <w:color w:val="303b3b"/>
          <w:sz w:val="28"/>
          <w:szCs w:val="28"/>
          <w:rtl w:val="0"/>
        </w:rPr>
        <w:t xml:space="preserve"> 7Н</w:t>
      </w:r>
      <w:r w:rsidDel="00000000" w:rsidR="00000000" w:rsidRPr="00000000">
        <w:rPr>
          <w:color w:val="303b3b"/>
          <w:sz w:val="28"/>
          <w:szCs w:val="28"/>
          <w:vertAlign w:val="subscript"/>
          <w:rtl w:val="0"/>
        </w:rPr>
        <w:t xml:space="preserve">2</w:t>
      </w:r>
      <w:r w:rsidDel="00000000" w:rsidR="00000000" w:rsidRPr="00000000">
        <w:rPr>
          <w:color w:val="303b3b"/>
          <w:sz w:val="28"/>
          <w:szCs w:val="28"/>
          <w:rtl w:val="0"/>
        </w:rPr>
        <w:t xml:space="preserve">О). Русские подстрочные индексы даются прямым шрифтом, латинские – прямым, если это сокращения от каких-либо слов (</w:t>
      </w:r>
      <w:r w:rsidDel="00000000" w:rsidR="00000000" w:rsidRPr="00000000">
        <w:rPr>
          <w:i w:val="1"/>
          <w:color w:val="303b3b"/>
          <w:sz w:val="28"/>
          <w:szCs w:val="28"/>
          <w:rtl w:val="0"/>
        </w:rPr>
        <w:t xml:space="preserve">V</w:t>
      </w:r>
      <w:r w:rsidDel="00000000" w:rsidR="00000000" w:rsidRPr="00000000">
        <w:rPr>
          <w:color w:val="303b3b"/>
          <w:sz w:val="46"/>
          <w:szCs w:val="46"/>
          <w:vertAlign w:val="subscript"/>
          <w:rtl w:val="0"/>
        </w:rPr>
        <w:t xml:space="preserve">min</w:t>
      </w:r>
      <w:r w:rsidDel="00000000" w:rsidR="00000000" w:rsidRPr="00000000">
        <w:rPr>
          <w:color w:val="303b3b"/>
          <w:sz w:val="28"/>
          <w:szCs w:val="28"/>
          <w:rtl w:val="0"/>
        </w:rPr>
        <w:t xml:space="preserve">, </w:t>
      </w:r>
      <w:r w:rsidDel="00000000" w:rsidR="00000000" w:rsidRPr="00000000">
        <w:rPr>
          <w:i w:val="1"/>
          <w:color w:val="303b3b"/>
          <w:sz w:val="28"/>
          <w:szCs w:val="28"/>
          <w:rtl w:val="0"/>
        </w:rPr>
        <w:t xml:space="preserve">F</w:t>
      </w:r>
      <w:r w:rsidDel="00000000" w:rsidR="00000000" w:rsidRPr="00000000">
        <w:rPr>
          <w:color w:val="303b3b"/>
          <w:sz w:val="46"/>
          <w:szCs w:val="46"/>
          <w:vertAlign w:val="subscript"/>
          <w:rtl w:val="0"/>
        </w:rPr>
        <w:t xml:space="preserve">max</w:t>
      </w:r>
      <w:r w:rsidDel="00000000" w:rsidR="00000000" w:rsidRPr="00000000">
        <w:rPr>
          <w:color w:val="303b3b"/>
          <w:sz w:val="28"/>
          <w:szCs w:val="28"/>
          <w:rtl w:val="0"/>
        </w:rPr>
        <w:t xml:space="preserve">) и курсивом во всех остальных случаях (</w:t>
      </w:r>
      <w:r w:rsidDel="00000000" w:rsidR="00000000" w:rsidRPr="00000000">
        <w:rPr>
          <w:i w:val="1"/>
          <w:color w:val="303b3b"/>
          <w:sz w:val="28"/>
          <w:szCs w:val="28"/>
          <w:rtl w:val="0"/>
        </w:rPr>
        <w:t xml:space="preserve">A</w:t>
      </w:r>
      <w:r w:rsidDel="00000000" w:rsidR="00000000" w:rsidRPr="00000000">
        <w:rPr>
          <w:i w:val="1"/>
          <w:color w:val="303b3b"/>
          <w:sz w:val="46"/>
          <w:szCs w:val="46"/>
          <w:vertAlign w:val="subscript"/>
          <w:rtl w:val="0"/>
        </w:rPr>
        <w:t xml:space="preserve">p</w:t>
      </w:r>
      <w:r w:rsidDel="00000000" w:rsidR="00000000" w:rsidRPr="00000000">
        <w:rPr>
          <w:color w:val="303b3b"/>
          <w:sz w:val="28"/>
          <w:szCs w:val="28"/>
          <w:rtl w:val="0"/>
        </w:rPr>
        <w:t xml:space="preserve">, </w:t>
      </w:r>
      <w:r w:rsidDel="00000000" w:rsidR="00000000" w:rsidRPr="00000000">
        <w:rPr>
          <w:i w:val="1"/>
          <w:color w:val="303b3b"/>
          <w:sz w:val="28"/>
          <w:szCs w:val="28"/>
          <w:rtl w:val="0"/>
        </w:rPr>
        <w:t xml:space="preserve">P</w:t>
      </w:r>
      <w:r w:rsidDel="00000000" w:rsidR="00000000" w:rsidRPr="00000000">
        <w:rPr>
          <w:i w:val="1"/>
          <w:color w:val="303b3b"/>
          <w:sz w:val="28"/>
          <w:szCs w:val="28"/>
          <w:vertAlign w:val="subscript"/>
          <w:rtl w:val="0"/>
        </w:rPr>
        <w:t xml:space="preserve">nk</w:t>
      </w:r>
      <w:r w:rsidDel="00000000" w:rsidR="00000000" w:rsidRPr="00000000">
        <w:rPr>
          <w:color w:val="303b3b"/>
          <w:sz w:val="28"/>
          <w:szCs w:val="28"/>
          <w:rtl w:val="0"/>
        </w:rPr>
        <w:t xml:space="preserve">). Греческие символы не выделяются курсивом, за исключением тех случаев, когда курсивом выделен весь абзац. Молярность и нормальность пишутся прямо: 0,1 M NaOH, 1 N H</w:t>
      </w:r>
      <w:r w:rsidDel="00000000" w:rsidR="00000000" w:rsidRPr="00000000">
        <w:rPr>
          <w:color w:val="303b3b"/>
          <w:sz w:val="28"/>
          <w:szCs w:val="28"/>
          <w:vertAlign w:val="subscript"/>
          <w:rtl w:val="0"/>
        </w:rPr>
        <w:t xml:space="preserve">2</w:t>
      </w:r>
      <w:r w:rsidDel="00000000" w:rsidR="00000000" w:rsidRPr="00000000">
        <w:rPr>
          <w:color w:val="303b3b"/>
          <w:sz w:val="28"/>
          <w:szCs w:val="28"/>
          <w:rtl w:val="0"/>
        </w:rPr>
        <w:t xml:space="preserve">SO</w:t>
      </w:r>
      <w:r w:rsidDel="00000000" w:rsidR="00000000" w:rsidRPr="00000000">
        <w:rPr>
          <w:color w:val="303b3b"/>
          <w:sz w:val="46"/>
          <w:szCs w:val="46"/>
          <w:vertAlign w:val="subscript"/>
          <w:rtl w:val="0"/>
        </w:rPr>
        <w:t xml:space="preserve">4</w:t>
      </w:r>
      <w:r w:rsidDel="00000000" w:rsidR="00000000" w:rsidRPr="00000000">
        <w:rPr>
          <w:color w:val="303b3b"/>
          <w:sz w:val="28"/>
          <w:szCs w:val="28"/>
          <w:rtl w:val="0"/>
        </w:rPr>
        <w:t xml:space="preserve">;</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во всех материалах, включая рисунки и надписи на фотографиях, должно соблюдаться единообразное написание всех формул и символов.</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Числовой материал следует давать в форме таблиц (не менее трех граф, не более одной таблицы на 2,5 страницы рукописи), которые нумеруют в порядке упоминания в тексте арабскими цифрами, название таблицы должно следовать после номера на той же строке. Если таблица одна, то после слова «Таблица» номер не ставится;</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каждая таблица и ее графы должны иметь заголовки, краткие, но написанные полностью. Сокращение слов в таблице не допускается;</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не допускается повторение одних и тех же данных в таблицах, графиках и тексте;</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табличные данные необходимо приводить с точностью, соответствующей точности метода;</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в таблицы не включаются легко выводимые величины;</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необходимо соблюдать следующую разрядность в предоставлении цифровых данных: при наличии двух и более знаков перед запятой – после запятой достаточно одного знака; при наличии одного знака перед запятой – после запятой должно быть два знака; при наличии перед запятой ноля – после запятой должно быть не менее трех знаков.</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Оформление иллюстраций должно соответствовать следующим требованиям:</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на каждый рисунок должна быть как минимум одна ссылка в тексте;</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рисунок должен быть четким и понятным, надписи соответствовать тексту;</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рисунки должны содержать все необходимые обозначения координатных осей, кривых и других деталей. На осях следует указывать только измерявшуюся величину (но не явление) и ее размерность (без вводных слов). Все уточнения должны быть вынесены в подрисуночную подпись;</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на кривых (кроме теоретических построений или воспроизведения непрерывной регистрации) должны быть нанесены экспериментальные точки;</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рисунки должны содержать минимум надписей (кривые, колонки и треки должны быть пронумерованы курсивом цифрами или буквенными обозначениями, поясняемыми в подписи к рисунку; размещать легенду на самом рисунке не следует);</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подрисуночная подпись начинается со слова «Рис.» и цифры соответствующей номеру рисунка в порядке встречаемости в тексте. Если рисунок один, слово пишется без сокращения, цифра после нее не ставится;</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объяснение рисунков и фотографий в тексте и пояснения к ним должны соответствовать содержанию рисунков;</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иллюстрации объектов, исследованных с помощью микроскопа (оптического, электронного трансмиссионного и сканирующего), должны сопровождаться масштабными линейками, причем в подрисуночных подписях надо указать длину линейки. Приводить данные о кратности увеличения не обязательно, поскольку при публикации рисунков размеры изменятся;</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рисунки и фотографии публикуются в черно-белом варианте, это необходимо учитывать при построении кривых или выделении различных областей на диаграммах и картосхемах.</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Ссылки на литературу (для экспериментальных работ не более 20, для обзоров не более 50) даются в порядке встречаемости в тексте в квадратных скобках цифрами в возрастающем порядке. При цитировании нескольких работ подряд в одном «блоке» ссылки располагаются в хронологической последовательности. Число ссылок в блоке должно быть не более 3;</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Список литературыприводится на языке оригинала и печатается под заголовком «Литература» в конце статьи в порядке цитирования работ в тексте. При этом указываются фамилии всех авторов и полное название цитируемой работы. Необходимо строго соблюдать принятые нормы оформления библиографической ссылки согласно ГОСТ Р 7.0.5-2008 (</w:t>
      </w:r>
      <w:hyperlink r:id="rId8">
        <w:r w:rsidDel="00000000" w:rsidR="00000000" w:rsidRPr="00000000">
          <w:rPr>
            <w:color w:val="0070c0"/>
            <w:sz w:val="28"/>
            <w:szCs w:val="28"/>
            <w:rtl w:val="0"/>
          </w:rPr>
          <w:t xml:space="preserve">примеры оформления ссылок</w:t>
        </w:r>
      </w:hyperlink>
      <w:r w:rsidDel="00000000" w:rsidR="00000000" w:rsidRPr="00000000">
        <w:rPr>
          <w:color w:val="303b3b"/>
          <w:sz w:val="28"/>
          <w:szCs w:val="28"/>
          <w:rtl w:val="0"/>
        </w:rPr>
        <w:t xml:space="preserve">).</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После этого списка литературы под заголовком Referensis размещается список литературы на английском языке, с правилами его оформления можно ознакомиться на странице </w:t>
      </w:r>
      <w:hyperlink r:id="rId9">
        <w:r w:rsidDel="00000000" w:rsidR="00000000" w:rsidRPr="00000000">
          <w:rPr>
            <w:color w:val="829b9a"/>
            <w:sz w:val="28"/>
            <w:szCs w:val="28"/>
            <w:rtl w:val="0"/>
          </w:rPr>
          <w:t xml:space="preserve">http://www.agroapk.ru/oformlenie-spiska-literatury</w:t>
        </w:r>
      </w:hyperlink>
      <w:r w:rsidDel="00000000" w:rsidR="00000000" w:rsidRPr="00000000">
        <w:rPr>
          <w:color w:val="303b3b"/>
          <w:sz w:val="28"/>
          <w:szCs w:val="28"/>
          <w:rtl w:val="0"/>
        </w:rPr>
        <w:t xml:space="preserve">.</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указание в списке литературы всех цитируемых в статье работ обязательно.</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На отдельной странице файла с рукописью указываются полностью имена, отчества и фамилии всех авторов и их телефоны, адреса электронной почты, с указанием автора, с которым вести переписку. В случае поступления рукописи по электронной почте вопросы и замечания отправляются на тот адрес, с которого она поступила в редакцию.</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Обычной почтой рукописи следует отправлять только простой бандеролью или письмом.</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Редакция оставляет за собой право не рассматривать статьи, оформленные с нарушением правил.</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after="200" w:before="200" w:lineRule="auto"/>
        <w:jc w:val="both"/>
        <w:rPr>
          <w:color w:val="303b3b"/>
          <w:sz w:val="28"/>
          <w:szCs w:val="28"/>
        </w:rPr>
      </w:pPr>
      <w:r w:rsidDel="00000000" w:rsidR="00000000" w:rsidRPr="00000000">
        <w:rPr>
          <w:color w:val="303b3b"/>
          <w:sz w:val="28"/>
          <w:szCs w:val="28"/>
          <w:rtl w:val="0"/>
        </w:rPr>
        <w:t xml:space="preserve">Автор (ры) несут всю ответственность за научное содержание и достоверность сведений, используемых в статье, за соблюдение авторских прав третьих лиц, а также за сохранение государственной и коммерческой тайны.</w:t>
      </w:r>
    </w:p>
    <w:p w:rsidR="00000000" w:rsidDel="00000000" w:rsidP="00000000" w:rsidRDefault="00000000" w:rsidRPr="00000000" w14:paraId="0000003A">
      <w:pPr>
        <w:rPr>
          <w:color w:val="606060"/>
          <w:sz w:val="18"/>
          <w:szCs w:val="18"/>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 w:name="Gungsuh"/>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groapk.ru/oformlenie-spiska-literatury" TargetMode="External"/><Relationship Id="rId5" Type="http://schemas.openxmlformats.org/officeDocument/2006/relationships/styles" Target="styles.xml"/><Relationship Id="rId6" Type="http://schemas.openxmlformats.org/officeDocument/2006/relationships/hyperlink" Target="http://www.agroapk.ru/menu-rules-for-writing-2" TargetMode="External"/><Relationship Id="rId7" Type="http://schemas.openxmlformats.org/officeDocument/2006/relationships/hyperlink" Target="http://www.agroapk.ru/8-for-authors/11-abbreviations" TargetMode="External"/><Relationship Id="rId8" Type="http://schemas.openxmlformats.org/officeDocument/2006/relationships/hyperlink" Target="http://www.agroapk.ru/oformlenie-spiska-literatur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