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Редакция журнала «Доклады Академии наук» просит авторов руководствоваться приводимыми ниже правилами и надеется, что авторы ознакомятся с ними, прежде чем пришлют рукопись на рассмотрение в редакцию. Рукописи, оформленные и переданные в редакцию без соблюдения этих правил, могут быть отклонены без детального рассмотрения и рецензирования.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рукописи статей принимаются редакцией в электронном виде: а) через сайт журнала (</w:t>
      </w:r>
      <w:hyperlink r:id="rId6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https://journals.eco-vector.com/0869-5652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 или б) по электронной почте (</w:t>
      </w:r>
      <w:r w:rsidDel="00000000" w:rsidR="00000000" w:rsidRPr="00000000">
        <w:rPr>
          <w:color w:val="003f6c"/>
          <w:sz w:val="21"/>
          <w:szCs w:val="21"/>
          <w:rtl w:val="0"/>
        </w:rPr>
        <w:t xml:space="preserve">dan@eco-vector.com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или </w:t>
      </w:r>
      <w:r w:rsidDel="00000000" w:rsidR="00000000" w:rsidRPr="00000000">
        <w:rPr>
          <w:color w:val="003f6c"/>
          <w:sz w:val="21"/>
          <w:szCs w:val="21"/>
          <w:rtl w:val="0"/>
        </w:rPr>
        <w:t xml:space="preserve">danred@eco-vector.com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). Для ускорения публикации предпочтителен первый способ. Перед отправкой рукописи через указанный сайт авторам (представителю авторского коллектива) необходимо зарегистрироваться на сайте.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должны выбрать раздел журнала, в который следует поместить сообщение (см. </w:t>
      </w:r>
      <w:hyperlink r:id="rId7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перечень разделов журнала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Текст статьи должен быть тщательно отредактирован и одобрен всеми авторами перед её подачей в редакцию.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Редакция обращает внимание авторов на то, что «Доклады Академии наук» являются органом общей научной информации и в связи с этим просит авторов излагать материал в ясной и доступной форме.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Если материал не может быть изложен в краткой форме, редакция советует авторам направлять его в какой-либо специализированный журнал. Работы, нарушающие эти условия, редакция возвращает авторам для сокращения, не рассматривая их.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математических работах желательно избегать доказательств теорем, лемм и т.п.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описании методики исследования следует ограничиваться её оригинальной частью, при элементном анализе — приводить только усредненные данные.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Транскрипция географических названий должна соответствовать атласу последнего года издания.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Видовые и родовые названия растений и животных должны быть приведены полностью при первом упоминании, согласно правилам биологической номенклатуры.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упоминании иностранных фамилий в тексте в скобках дается их оригинальное написание (за исключением общеизвестных имен, встречающихся в энциклопедии, и имен, на которые даются ссылки в списке литературы).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упоминании иностранных учебных заведений, фирм, фирменных продуктов и т.д. в русской транслитерации в скобках должно быть дано их оригинальное написание.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Объем полного текста рукописи.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“Доклады Академии наук” публикуют сообщения, занимающие не более 1/4 авторского листа (10 000 знаков с учетом пробелов). В этот объем входят текст, таблицы, библиография (не больше 15 источников). Нормативный объём статьи НЕ УЧИТЫВАЕТ объём текстов на английском языке, указанных ниже в разделе "Структура рукописи".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Формат текста рукописи.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При наборе используйте стандартные Windows TrueType шрифты (Times New Roman – для текста, Symbol – для греческих букв, MathematicalPi2 – для рукописных и готических символов). Стандартный размер шрифта – 12 Pt.</w:t>
        <w:br w:type="textWrapping"/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используйте иные языки набора, кроме русского и английского.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смешивайте русские и латинские буквы в одном слове.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используйте иные языки набора, кроме русского и английского.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смешивайте русские и латинские буквы в одном слове.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заканчивайте строку нажатием клавиши «Enter» – используйте ее только для начала нового абзаца.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Набор текста рукописи.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набирайте кириллицу сходными по начертанию латинскими буквами – и наоборот.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набирайте весь текст заголовка ПРОПИСНЫМИ буквами.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Десятичные цифры набираются только через точку, а не через запятую (0.25 вместо 0,25).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Используются только “кавычки”, но не «кавычки».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Буква "ё" везде заменяется на "е", кроме фамилий и особых случаев.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Знаки *, ‘, ±, одиночные буквы греческого алфавита, одиночные наклонные или полужирные буквы, одиночные переменные или обозначения, у которых есть только верхний или только нижний индекс, единицы измерения, цифры в тексте, а также простые математические или химические формулы (например, a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2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+ b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2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= c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2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; H</w:t>
      </w:r>
      <w:r w:rsidDel="00000000" w:rsidR="00000000" w:rsidRPr="00000000">
        <w:rPr>
          <w:color w:val="111111"/>
          <w:sz w:val="21"/>
          <w:szCs w:val="21"/>
          <w:vertAlign w:val="subscript"/>
          <w:rtl w:val="0"/>
        </w:rPr>
        <w:t xml:space="preserve">2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SO</w:t>
      </w:r>
      <w:r w:rsidDel="00000000" w:rsidR="00000000" w:rsidRPr="00000000">
        <w:rPr>
          <w:color w:val="111111"/>
          <w:sz w:val="21"/>
          <w:szCs w:val="21"/>
          <w:vertAlign w:val="subscript"/>
          <w:rtl w:val="0"/>
        </w:rPr>
        <w:t xml:space="preserve">4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) должны набираться в текстовом режиме без использования внедренных рамок (без использования программ MathType).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Между инициалами и фамилией всегда ставится пробел: А.А. Иванов (кроме перечисления авторов в заглавии статьи, где пробелы ставятся и между инициалами – А. А. Иванов).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Во всем тексте, кроме даты поступления, все даты в виде "число.месяц.год" набиваются следующим образом: 02.05.1991, 26.12.1874 и т.п.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Точка не ставится после: УДК, заглавия статьи, ФИО авторов, адресов, заголовков и подзаголовков, названий таблиц, размерностей (с – секунда, г – грамм, мин – минута, сут – сутки, град – градус).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Точка ставится после: сносок (в том числе в таблицах), примечаний к таблице, подписей к рисункам, краткой аннотации, сокращений (мес. – месяц, г. – год, млн. – миллион, т. пл. т – температура плавления), но НЕ ставится в подстрочных индексах (Тпл – температура плавления, Тф. п– – температура фазового перехода).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Оформление текстовых символов в программе Word осуществляется с помощью диалогового окна ШРИФТ (вызывается при нажатии комбинации клавиш Ctrl(зажать) D). Символ * расположен в правой части клавиатуры вместе с цифровыми клавишами, ° набирается нажатием комбинации клавиш Alt(зажать) 0176, ± набирается комбинацией Alt(зажать) 0177.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Стилевой файл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Редакция рекомендует авторам использовать для подготовке рукописи стилевой файл издательства Pleiades Publishing. Это позволит вам не задумываться о параметрах оформления при подготовке статьи. Перед началом работы со стилевым файлом убедительно просим вас ознакомиться с инструкциями на сайте Pleiades (см. </w:t>
      </w:r>
      <w:hyperlink r:id="rId8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ссылку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 Для грамотной подготовки статьи достаточно выполнить последовательность стадий, перечисленных в инструкции. Выполнив все стадии, вы будете уверены, что ваша статья отвечает основным требованиям к авторским оригиналам.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b w:val="1"/>
          <w:color w:val="015dc1"/>
        </w:rPr>
      </w:pPr>
      <w:bookmarkStart w:colFirst="0" w:colLast="0" w:name="_4ejumgvkwq27" w:id="0"/>
      <w:bookmarkEnd w:id="0"/>
      <w:r w:rsidDel="00000000" w:rsidR="00000000" w:rsidRPr="00000000">
        <w:rPr>
          <w:b w:val="1"/>
          <w:color w:val="015dc1"/>
          <w:rtl w:val="0"/>
        </w:rPr>
        <w:t xml:space="preserve">Структура рукописи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Код УДК.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В самом начале статьи следует указать индекс по Универсальной десятичной классификации (УДК).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Название статьи.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Прописными буквами, полужирным шрифтом, выравнивание по центру, в конце без точки.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Авторы.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Указываются инициалы имени и отчества (с точкой), далее через пробел — фамилия. Курсивом, выравнивание по центру, в конце без точки. Если авторы публикации относятся к разным учреждениям, следует после всех фамилий надстрочно указать номер учреждения. Соответствующий номер ставится в круглых скобках перед названием учреждения.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Учреждения.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Необходимо привести ПОЛНОЕ официальное название учреждения(-й) (без сокращений). Перед названием каждого учреждения в верхнем регистре следует указать его номер — для соотнесения с соответствующими авторами. После названия каждого учреждения через запятую необходимо написать его адрес в формате: город, страна.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Аннотация статьи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должна обосновывать целесообразность публикации именно в “Докладах Академии наук”. Объем текста аннотации не должен превышать 1000 знаков с учетом пробелов.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Ключевые слова.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Необходимо указать от 3 до 10 ключевых слов, способствующих индексированию статьи в поисковых системах. Рекомендуется использовать общепринятые термины.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Далее необходимо привести грамотный перевод на английский язык ряда перечисленных выше пунктов.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Article title.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Англоязычное название должно быть грамотно с точки зрения английского языка, при этом по смыслу полностью соответствовать русскоязычному названию.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Author names.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Указываются инициалы имени и отчества (с точкой), далее через пробел - фамилия. Курсивом, выравнивание по центру, в конце без точки. Инициалы и фамилию необходимо писать в соответствии с их написанием в системе ORCID. Если авторы публикации относятся к разным учреждениям, следует после всех фамилий надстрочно указать номер учреждения.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Необходимо указывать ОФИЦИАЛЬНОЕ(-ЫЕ) АНГЛОЯЗЫЧНОЕ(-ЫЕ) НАЗВАНИЕ(-Я) УЧРЕЖДЕНИЯ(-Й). Наиболее полный список названий учреждений и их официальной англоязычной версии можно найти на сайте РУНЭБ </w:t>
      </w:r>
      <w:hyperlink r:id="rId9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eLibrary.ru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 Перед названием каждого учреждения в верхнем регистре следует указать его номер — для соотнесения с соответствующими авторами. После каждого названия учреждения через запятую необходимо написать его адрес в формате: город, страна.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Англоязычная версия аннотации статьи должна соответствовать русскоязычной и быть грамотной с точки зрения английского языка.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Для верного написания ключевых слов на английском рекомендуется использовать известные тезаурусы (например, тезаурус Национальной медицинской библиотеки США - </w:t>
      </w:r>
      <w:hyperlink r:id="rId10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Medical Subject Headings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 (MeSH), </w:t>
      </w:r>
      <w:hyperlink r:id="rId11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https://www.ncbi.nlm.nih.gov/mesh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Полный текст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на русском языке.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могут приложить 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список английских терминов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, которые они считают необходимым использовать при переводе статьи на английский язык, и пояснения переводчику, а также свою версию перевода (см. выше п. о подаваемых документах на шаге 4).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Список литературы.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В библиографии (пристатейном списке литературы) каждый источник следует помещать с новой строки под порядковым номером. Подробные правила оформления библиографии можно найти в специальном разделе </w:t>
      </w:r>
      <w:hyperlink r:id="rId12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«Оформление библиографии»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 Наиболее важные из них следующие.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Список литературы приводится на отдельной странице.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списке все работы перечисляются в порядке цитирования, а НЕ в алфавитном порядке.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Количество цитируемых работ — до 15 источников. Самоцитирование допускается в минимальном объеме (не более 30%).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тексте статьи ссылки на источники приводятся в квадратных скобках арабскими цифрами без пробела: [1], [1,2] или [5–7].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библиографическом описании каждого источника приводятся фамилии авторов до трех. В случае, если у публикации более 3-х авторов, то после 3-го автора необходимо поставить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запятую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(обязательно), затем через пробел сокращение "и др." или "et al.".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Ссылки на неопубликованные работы не допускаются.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Информация об авторах.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Последовательно указываются все авторы рукописи: ФИО (в этом разделе полностью), ученая степень, ученое звание, должность, место работы (включая город и страну). Отдельно следует выделить автора для связи с авторским коллективом, и только для него указать контактный действующий (!) телефон (только для связи с автором, не печатается в статье). Для КАЖДОГО автора необходимо указать: SPIN-код в e-library (формат: ХХХХ-ХХХХ), ORCID iD (ХХХХ-ХХХХ-ХХХХ-ХХХХ) и контактный email. Полные имена всех авторов на английском языке.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Дополнительная информация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(на русском или на русском и английском языках):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Источники финансирования.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Возможно указание источников финансирования, как научной работы, так и процесса публикации статьи (фонд и др.,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без размера финансирования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Соблюдение этических стандартов. Авторам необходимо включить в данную рубрику следующую информацию (если это применимо)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—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 подробнее см. </w:t>
      </w:r>
      <w:hyperlink r:id="rId13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Этический кодекс журнала</w:t>
        </w:r>
      </w:hyperlink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Информация о конфликте интересов.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Авторам необходимо раскрыть потенциальные и явные конфликты интересов, связанные с рукописью (подробнее — по </w:t>
      </w:r>
      <w:hyperlink r:id="rId14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Наличие конфликта интересов у одного или нескольких авторов НЕ является поводом для отказа в публикации статьи.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Информацию о получении разрешения на проведение исследования с участием людей и/или животных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(подробнее — по </w:t>
      </w:r>
      <w:hyperlink r:id="rId15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Информацию о получении информированного согласия от участников исследования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(подробнее — по </w:t>
      </w:r>
      <w:hyperlink r:id="rId16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Благодарности.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могут выразить благодарности людям и организациям, способствовавшим получению результатов и публикации статьи в журнале, но не являющимися её авторами. Например, «Авторы выносят благодарность (Фамилия И.О.) за оформление иллюстраций».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Создавайте таблицы, используя возможности Word (Вставка — Таблица — Добавить таблицу) или MS Excel. Таблицы, набранные вручную (с помощью большого числа пробелов, без использования ячеек), или вставленные в текст в форме изображений, не могут быть использованы.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Таблицы следует помещать в текст статьи. Они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Названия столбцов в таблицах должны быть лаконичными и сопоставимыми по размерам между собой. Дополнительные пояснения следует давать в названии таблицы, сносках или примечаниях. Столбцы должны читаться обязательно 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СВЕРХУ ВНИЗ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Повторяющиеся надписи заменяются кавычками ( « ).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Примечания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и сноски со звездочками под таблицами пишутся 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прямым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шрифтом, в конце ставят точку. После звездочки ставится тире, за ним первое слово пишут с прописной буквы; после двух звездочек – с маленькой буквы.</w:t>
      </w:r>
    </w:p>
    <w:p w:rsidR="00000000" w:rsidDel="00000000" w:rsidP="00000000" w:rsidRDefault="00000000" w:rsidRPr="00000000" w14:paraId="0000004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b w:val="1"/>
          <w:color w:val="015dc1"/>
        </w:rPr>
      </w:pPr>
      <w:bookmarkStart w:colFirst="0" w:colLast="0" w:name="_n1igd3jwnzoy" w:id="1"/>
      <w:bookmarkEnd w:id="1"/>
      <w:r w:rsidDel="00000000" w:rsidR="00000000" w:rsidRPr="00000000">
        <w:rPr>
          <w:b w:val="1"/>
          <w:color w:val="015dc1"/>
          <w:rtl w:val="0"/>
        </w:rPr>
        <w:t xml:space="preserve">Технические требования к иллюстрациям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Число иллюстраций к статье не должно превышать четырех, включая составные изображения (разделенные на части и пронумерованные буквами а, б и т.д.). Повторение одних и тех же данных в тексте, таблицах и графиках недопустимо. Рисунки должны быть выполнены четко, в формате, обеспечивающем ясность передачи всех деталей.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Каждый рисунок должен сопровождаться нумерованной подрисуночной подписью независимо от того, имеется ли в тексте его описание.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рисунки, независимо от их формата и разрешения, имеют единую в рамках одной статьи сквозную нумерацию.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Графики, диаграммы, схемы, чертежи и другие иллюстрации, рисованные средствами MS Office, должны быть высокого качества, контрастными и четкими.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Рисунки рекомендуется размещать непосредственно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в тексте статьи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с нумерованной подрисуночной подписью и полным названием рисунка (каждый рисунок дополнительно должен быть направлен в редакцию в отдельном файле – см. выше). Располагать рисунок лучше непосредственно после абзаца текста, в котором на него была дана сноска (впервые).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наличии нескольких частей у одной иллюстрации — их следует располагать последовательно и снабжать общей подписью. Внутри файла не нужно группировать иллюстрации по ячейкам таблицы или каким-либо аналогичным способом.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Иллюстрации должны иметь размеры, соответствующие их информативности: 8–8,5 см (на одну колонку), либо 17–17,5 см (на две колонки).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Надписи и обозначения на иллюстрациях могут меняться между русской и английской версиями при переводе, поэтому для фотографий желательно предоставить второй вариант без текста и всех обозначений, для остальных иллюстраций – располагать надписи на иллюстрации так, чтобы они не соприкасались ни с какими ее частями.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Для надписей и обозначений следует использовать стандартные TrueType шрифты.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следует добавлять на задний план иллюстраций серый (цветной) фон или сетки.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Штрихованные иллюстрации:</w:t>
        <w:br w:type="textWrapping"/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графики и диаграммы желательно готовить в векторных графических редакторах;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изображения должны иметь разрешение не ниже 600 dpi;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толщина линий не должна быть меньше 0,5 pt;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векторные иллюстрации не должны содержать точечных закрасок, таких как «Noise» «Black&amp;white noise» «Top noise»;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для векторной графики все использованные шрифты должны быть включены в файл.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Полутоновые иллюстрации:</w:t>
        <w:br w:type="textWrapping"/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иллюстрации должны иметь разрешение не ниже 300 dpi;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Комбинированные полутоновые/штриховые иллюстрации:</w:t>
        <w:br w:type="textWrapping"/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иллюстрации должны иметь разрешение не ниже 600 dpi.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Фотографии, отпечатки экранов мониторов (скриншотов) и другие нерисованные иллюстрации:</w:t>
        <w:br w:type="textWrapping"/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разрешение изображения должно быть &gt;300 dpi.</w:t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b w:val="1"/>
          <w:color w:val="015dc1"/>
        </w:rPr>
      </w:pPr>
      <w:bookmarkStart w:colFirst="0" w:colLast="0" w:name="_nt8twtlxeytx" w:id="2"/>
      <w:bookmarkEnd w:id="2"/>
      <w:r w:rsidDel="00000000" w:rsidR="00000000" w:rsidRPr="00000000">
        <w:rPr>
          <w:b w:val="1"/>
          <w:color w:val="015dc1"/>
          <w:rtl w:val="0"/>
        </w:rPr>
        <w:t xml:space="preserve">Публикация цветных иллюстраций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печатной версии журнал является черно-белым изданием, публикация иллюстраций в цвете допускается только после согласования с редакцией журнала.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Публикация цветных иллюстраций в online-версии журнала (в том числе в составе статьи и в форме дополнительных материалов к статье) не требует особого согласования, однако возможна только при выполнении ряда условий:</w:t>
        <w:br w:type="textWrapping"/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передали все изображения в редакцию с соблюдением технических требований к иллюстрациям (см. выше);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дополнение к цветным иллюстрациям авторы передали в редакцию файлы этих же иллюстраций в черно-белом формате и выразили согласие на ч/б печать из предоставленной им цветной версии;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цветные иллюстрации и их черно-белые копии, переданные авторами в редакцию, удовлетворяют следующим требованиям:</w:t>
        <w:br w:type="textWrapping"/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цвета линий и объектов выбраны таким образом, чтобы исключить возможную потерю информативности при переходе от цветного к черно-белому изображению (рекомендуется предварительно распечатывать такие иллюстрации на ч/б принтере для проверки видимости и различимости цветов, а также избегать указаний на цвета в подрисуночных подписях);</w:t>
      </w:r>
    </w:p>
    <w:p w:rsidR="00000000" w:rsidDel="00000000" w:rsidP="00000000" w:rsidRDefault="00000000" w:rsidRPr="00000000" w14:paraId="00000062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цветные линии графиков размечены обозначениями, цифрами или спецсимволами, или нанесены различающимися типами линий для каждого цвета;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цветные области на иллюстрациях размечены различающимися обозначениями или спецсимволами, а не одинаковыми разных цветов (если цветовое разделение областей находится примерно в одном цветовом тоне, то желательно провести тонкую линию границы между ними);</w:t>
      </w:r>
    </w:p>
    <w:p w:rsidR="00000000" w:rsidDel="00000000" w:rsidP="00000000" w:rsidRDefault="00000000" w:rsidRPr="00000000" w14:paraId="00000064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иллюстрация с большим количеством цветных областей в схожих цветовых тонах области дополнительно обозначены символами или штриховкой;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надписи и обозначения сделаны не цветными, а черными или белыми, в зависимости от подложки.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Дополнительные требования к цветным иллюстрациям:</w:t>
        <w:br w:type="textWrapping"/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иллюстрации должны содержать только 8-битный цвет;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right="9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цветовое пространство CMYK.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публикации цветных иллюстраций в печатной версии русскоязычной версии журнала иллюстрации могут быть размещены вне статьи на цветной вклейке.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Математические формулы в тексте должны быть набраны с помощью программного приложения MathType (встраивается в MS Word). Химические формулы и символы должны быть вписаны крупно и четко. Следует избегать громоздких обозначений.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Выносные математические формулы (оформляемые отдельной строкой) должны набираться в рамке MathType целиком. Набор формул из составных элементов, где частью формулы является таблица, или текст, или внедренная рамка – не допускается.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Для формул, набранных в MathType,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– не допускается!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Занумерованные формулы обязательно выключаются в красную строку, номер формулы ставится у правого края. Желательно нумеровать лишь те формулы, на которые имеются ссылки. Следует избегать значков типа ~ (волна), ° (кружок), ^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Ú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(крышки), — (черта) над и под буквами.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Текст утверждений типа теорем следует набирать курсивом (исключая математические символы).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выборе единиц измерения рекомендуется придерживаться международной системы единиц СИ (ГОСТ 9867-61). В названиях химических соединений используется терминология ЮПАК.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Символ умножения «×» – ставится только в случаях, когда справа от него стоит число: 2 × 10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-3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В остальных случаях он опускается: 2m, 4πn.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Символ умножения в виде точки применяется в скалярных произведениях, в химических формулах: CuSO</w:t>
      </w:r>
      <w:r w:rsidDel="00000000" w:rsidR="00000000" w:rsidRPr="00000000">
        <w:rPr>
          <w:color w:val="111111"/>
          <w:sz w:val="21"/>
          <w:szCs w:val="21"/>
          <w:vertAlign w:val="subscript"/>
          <w:rtl w:val="0"/>
        </w:rPr>
        <w:t xml:space="preserve">4</w:t>
      </w:r>
      <w:r w:rsidDel="00000000" w:rsidR="00000000" w:rsidRPr="00000000">
        <w:rPr>
          <w:b w:val="1"/>
          <w:color w:val="111111"/>
          <w:sz w:val="21"/>
          <w:szCs w:val="21"/>
          <w:vertAlign w:val="superscript"/>
          <w:rtl w:val="0"/>
        </w:rPr>
        <w:t xml:space="preserve">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5H</w:t>
      </w:r>
      <w:r w:rsidDel="00000000" w:rsidR="00000000" w:rsidRPr="00000000">
        <w:rPr>
          <w:color w:val="111111"/>
          <w:sz w:val="21"/>
          <w:szCs w:val="21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Номера формул и химических реакций пишут справа от формулы в круглых скобках, например: формулы (1)–(3).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обозначении числовых интервалов используется короткое тире пробела (5–7), а если числа имеют знак, вместо дефиса ставится многоточие: – 5...– 7 ºС.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Размерности величин отделяются от цифры пробелом, кроме градусов, процентов, промилле. Для сложных размерностей допускается использование, как отрицательных степеней, так и скобок, но единообразно по всей статье: Дж моль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-1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К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-1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или Дж(моль К)</w:t>
      </w:r>
      <w:r w:rsidDel="00000000" w:rsidR="00000000" w:rsidRPr="00000000">
        <w:rPr>
          <w:color w:val="111111"/>
          <w:sz w:val="21"/>
          <w:szCs w:val="21"/>
          <w:vertAlign w:val="superscript"/>
          <w:rtl w:val="0"/>
        </w:rPr>
        <w:t xml:space="preserve">-1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, а также Дж/(моль К). В числовых интервалах размерность приводится лишь для последнего числа, за исключением угловых градусов: (18–20 Дж/моль). Размерности переменных пишутся через запятую (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Е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, кДж/моль) по всему тексту, включая подписи к рисункам и обозначения осей на рисунках; размерности аргументов логарифмических функций – в квадратных скобках, без запятой: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l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nτ[мин].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Формулы и символы пишутся единообразно во всех материалах статьи.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Сокращения из нескольких слов разделяются пробелами (760 мм рт. ст.; т. пл.; пр. гр.; "ч. д. а."; "ос. ч."), за исключением самых общеупотребительных (и т.д.; и т.п.; т.е.). В геологических статьях - с.ш. (северная широта), в.д. (восточная долгота).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геологических статьях: юго-западный – ЮЗ, а не Ю-З и не ю-з.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Аббревиатуры или формулы химических соединений, употребляемые как прилагательные, пишутся через дефис: ИК-спектроскопия, ПЭ-пленка, ЖК-состояние, Na+-форма, ОН-группа, но группа ОН.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Пробелы между словами:</w:t>
        <w:br w:type="textWrapping"/>
      </w:r>
    </w:p>
    <w:p w:rsidR="00000000" w:rsidDel="00000000" w:rsidP="00000000" w:rsidRDefault="00000000" w:rsidRPr="00000000" w14:paraId="0000007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Ссылки на рисунки и таблицы отделяются пробелами от нумерации</w:t>
        <w:br w:type="textWrapping"/>
        <w:t xml:space="preserve">(рис. 1, табл. 2, а не рис.1, табл.2).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Кавычки и скобки не отделяются пробелами от заключенных в них слов:</w:t>
        <w:br w:type="textWrapping"/>
        <w:t xml:space="preserve">(при 300 К), (а); а не ( при 300 К ), ( а ).</w:t>
      </w:r>
    </w:p>
    <w:p w:rsidR="00000000" w:rsidDel="00000000" w:rsidP="00000000" w:rsidRDefault="00000000" w:rsidRPr="00000000" w14:paraId="0000007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Между знаком номера и параграфа и числом ставится пробел:</w:t>
        <w:br w:type="textWrapping"/>
        <w:t xml:space="preserve">(№ 1; § 5.65).</w:t>
      </w:r>
    </w:p>
    <w:p w:rsidR="00000000" w:rsidDel="00000000" w:rsidP="00000000" w:rsidRDefault="00000000" w:rsidRPr="00000000" w14:paraId="0000007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Числа с буквами в обозначениях набирают без пробелов:</w:t>
        <w:br w:type="textWrapping"/>
        <w:t xml:space="preserve">(IVd; 1.3.14a; рис. 1д).</w:t>
      </w:r>
    </w:p>
    <w:p w:rsidR="00000000" w:rsidDel="00000000" w:rsidP="00000000" w:rsidRDefault="00000000" w:rsidRPr="00000000" w14:paraId="0000007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географических координатах широты отделяются пробелами:</w:t>
        <w:br w:type="textWrapping"/>
        <w:t xml:space="preserve">5° N; 85.0° E, а не 56.5°N; 85.0°E.</w:t>
      </w:r>
    </w:p>
    <w:p w:rsidR="00000000" w:rsidDel="00000000" w:rsidP="00000000" w:rsidRDefault="00000000" w:rsidRPr="00000000" w14:paraId="0000007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географических названиях после точки ставится пробел:</w:t>
        <w:br w:type="textWrapping"/>
        <w:t xml:space="preserve">р. Енисей, г. Новосибирск.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Сокращению подлежат только те словосочетания, которые используются автором в тексте статьи 3 и более раза. Сокращения должны быть общепринятыми и понятными читателю, в соответствии с общепринятыми в научной литературе нормами. Первое упоминание сокращения всегда сопровождается полным написанием сокращаемого понятия, а сокращение указывается далее в скобках. Для обозначения сокращения рекомендуется использовать заглавные буквы. Например, … электрокардиограмма (ЭКГ)… Если сокращения используются только в таблицах и рисунках, а в тексте не используются, необходимо дать их расшифровку в примечании к таблице или рисунку.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 аннотации статьи, </w:t>
      </w: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как к отдельному документу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, применимы те же правила сокращений, что и к тексту статьи (сокращения вносятся при их использовании 3 и более раза, при первом упоминании дается расшифровка).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Не допускается использовать сокращения в выводах и заключении - все слова и словосочетания в этих разделах пишутся полностью.</w:t>
      </w:r>
    </w:p>
    <w:p w:rsidR="00000000" w:rsidDel="00000000" w:rsidP="00000000" w:rsidRDefault="00000000" w:rsidRPr="00000000" w14:paraId="00000083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b w:val="1"/>
          <w:color w:val="015dc1"/>
          <w:sz w:val="27"/>
          <w:szCs w:val="27"/>
        </w:rPr>
      </w:pPr>
      <w:bookmarkStart w:colFirst="0" w:colLast="0" w:name="_w3agyt7fkuwc" w:id="3"/>
      <w:bookmarkEnd w:id="3"/>
      <w:r w:rsidDel="00000000" w:rsidR="00000000" w:rsidRPr="00000000">
        <w:rPr>
          <w:b w:val="1"/>
          <w:color w:val="015dc1"/>
          <w:sz w:val="27"/>
          <w:szCs w:val="27"/>
          <w:rtl w:val="0"/>
        </w:rPr>
        <w:t xml:space="preserve">Подготовка статьи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передаче рукописи в редакцию на рассмотрение, авторам необходимо согласиться со всеми следующими пунктами.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Отсутствие неправомерных заимствований в тексте.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Авторы гарантируют, что эта статья целиком или частично не была раньше опубликована, а также не находится на рассмотрении или в процессе публикации в другом издании.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Правильный формат.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Отправляемый файл рукописи имеет формат Microsoft Word или RTF - *.doc, *.docx, *.rtf.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Русское и английское резюме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оформлены в соответствии с требованиями и не превышают предельного объема.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Иллюстрации.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Таблицы и рисунки находятся в тексте рукописи и имеют названия на русском и английском языках.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Библиография. 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Список литературы отформатирован в соотвествии с требованиями. У всех цитируемых источников проверено наличие DOI.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Дополнительные файлы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Авторы подготовили для передачи в редакцию: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представление действительного члена (академика) или иностранного члена Российской Академии наук;</w:t>
      </w:r>
    </w:p>
    <w:p w:rsidR="00000000" w:rsidDel="00000000" w:rsidP="00000000" w:rsidRDefault="00000000" w:rsidRPr="00000000" w14:paraId="0000008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сопроводительное письмо;</w:t>
      </w:r>
    </w:p>
    <w:p w:rsidR="00000000" w:rsidDel="00000000" w:rsidP="00000000" w:rsidRDefault="00000000" w:rsidRPr="00000000" w14:paraId="0000008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графические файлы (фотографии, спутниковые снимки, графики и т.п.);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обязуются загрузить эти файлы на сайт журнала на Шаге 4 в процессе отправки рукописи.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Авторство:</w:t>
        <w:br w:type="textWrapping"/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подтверждают, что:</w:t>
      </w:r>
    </w:p>
    <w:p w:rsidR="00000000" w:rsidDel="00000000" w:rsidP="00000000" w:rsidRDefault="00000000" w:rsidRPr="00000000" w14:paraId="0000009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участники, внесшие существенный вклад в исследование, представлены как Соавторы;</w:t>
      </w:r>
    </w:p>
    <w:p w:rsidR="00000000" w:rsidDel="00000000" w:rsidP="00000000" w:rsidRDefault="00000000" w:rsidRPr="00000000" w14:paraId="0000009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не приведены в качестве Соавторов те, кто не участвовал в проведении исследования;</w:t>
      </w:r>
    </w:p>
    <w:p w:rsidR="00000000" w:rsidDel="00000000" w:rsidP="00000000" w:rsidRDefault="00000000" w:rsidRPr="00000000" w14:paraId="0000009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jc w:val="both"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Соавторы видели и одобрили окончательную версию работы и согласились с представлением ее к публикации (подтверждением этого являются подписи всех авторов в сопроводительном письме).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Индексация:</w:t>
        <w:br w:type="textWrapping"/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Информация, 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введенная в поля «сведения об авторах»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, полностью соответствует таковой в </w:t>
      </w:r>
      <w:hyperlink r:id="rId17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РИНЦ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, SCOPUS и Web of Science.</w:t>
      </w:r>
    </w:p>
    <w:p w:rsidR="00000000" w:rsidDel="00000000" w:rsidP="00000000" w:rsidRDefault="00000000" w:rsidRPr="00000000" w14:paraId="00000095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b w:val="1"/>
          <w:color w:val="015dc1"/>
          <w:sz w:val="27"/>
          <w:szCs w:val="27"/>
        </w:rPr>
      </w:pPr>
      <w:bookmarkStart w:colFirst="0" w:colLast="0" w:name="_jw4n1o2mr3ik" w:id="4"/>
      <w:bookmarkEnd w:id="4"/>
      <w:r w:rsidDel="00000000" w:rsidR="00000000" w:rsidRPr="00000000">
        <w:rPr>
          <w:b w:val="1"/>
          <w:color w:val="015dc1"/>
          <w:sz w:val="27"/>
          <w:szCs w:val="27"/>
          <w:rtl w:val="0"/>
        </w:rPr>
        <w:t xml:space="preserve">Авторские права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После одобрения рукописи редакционной коллегией для публикации в журнале авторам необходимо заключить </w:t>
      </w: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Лицензионный договор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о предоставлении права использования статьи в научном журнале на русском языке, учредителем (соучредителем) которого является Российская академия наук.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Образец лицензионного договора можно скачать по </w:t>
      </w:r>
      <w:hyperlink r:id="rId18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Лицензионный договор необходимо заполнить и подписать представителю авторского коллектива, отсканировать и сохранить в PDF, после чего направить в редакцию. </w:t>
      </w:r>
    </w:p>
    <w:p w:rsidR="00000000" w:rsidDel="00000000" w:rsidP="00000000" w:rsidRDefault="00000000" w:rsidRPr="00000000" w14:paraId="0000009A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b w:val="1"/>
          <w:color w:val="015dc1"/>
          <w:sz w:val="27"/>
          <w:szCs w:val="27"/>
        </w:rPr>
      </w:pPr>
      <w:bookmarkStart w:colFirst="0" w:colLast="0" w:name="_yw2anb6b5jty" w:id="5"/>
      <w:bookmarkEnd w:id="5"/>
      <w:r w:rsidDel="00000000" w:rsidR="00000000" w:rsidRPr="00000000">
        <w:rPr>
          <w:b w:val="1"/>
          <w:color w:val="015dc1"/>
          <w:sz w:val="27"/>
          <w:szCs w:val="27"/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Имена и адреса, указанные Вами при регистрации на этом сайте, будут использованы исключительно для технических целей: контакта с Вами или с рецензентами (редакторами) в процессе подготовки Вашей статьи к публикации. Они ни в коем случае не будут предоставляться другим лицам и организациям.</w:t>
      </w:r>
    </w:p>
    <w:p w:rsidR="00000000" w:rsidDel="00000000" w:rsidP="00000000" w:rsidRDefault="00000000" w:rsidRPr="00000000" w14:paraId="0000009D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E">
      <w:pPr>
        <w:rPr>
          <w:color w:val="1f273a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cbi.nlm.nih.gov/mesh" TargetMode="External"/><Relationship Id="rId10" Type="http://schemas.openxmlformats.org/officeDocument/2006/relationships/hyperlink" Target="http://www.ncbi.nlm.nih.gov/mesh" TargetMode="External"/><Relationship Id="rId13" Type="http://schemas.openxmlformats.org/officeDocument/2006/relationships/hyperlink" Target="https://journals.eco-vector.com/0869-5652/about/editorialPolicies#custom-1" TargetMode="External"/><Relationship Id="rId12" Type="http://schemas.openxmlformats.org/officeDocument/2006/relationships/hyperlink" Target="https://journals.eco-vector.com/pavlovj/pages/view/references_pavlov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library.ru/orgs.asp" TargetMode="External"/><Relationship Id="rId15" Type="http://schemas.openxmlformats.org/officeDocument/2006/relationships/hyperlink" Target="https://journals.eco-vector.com/0869-5652/about/editorialPolicies#custom-1" TargetMode="External"/><Relationship Id="rId14" Type="http://schemas.openxmlformats.org/officeDocument/2006/relationships/hyperlink" Target="https://journals.eco-vector.com/0869-5652/information/competingInterestGuidelines" TargetMode="External"/><Relationship Id="rId17" Type="http://schemas.openxmlformats.org/officeDocument/2006/relationships/hyperlink" Target="https://elibrary.ru/org_compare.asp" TargetMode="External"/><Relationship Id="rId16" Type="http://schemas.openxmlformats.org/officeDocument/2006/relationships/hyperlink" Target="https://journals.eco-vector.com/0869-5652/about/editorialPolicies#custom-1" TargetMode="External"/><Relationship Id="rId5" Type="http://schemas.openxmlformats.org/officeDocument/2006/relationships/styles" Target="styles.xml"/><Relationship Id="rId6" Type="http://schemas.openxmlformats.org/officeDocument/2006/relationships/hyperlink" Target="https://journals.eco-vector.com/0869-5652" TargetMode="External"/><Relationship Id="rId18" Type="http://schemas.openxmlformats.org/officeDocument/2006/relationships/hyperlink" Target="https://journals.eco-vector.com/files/journals/23/Add_files/AuthorLicenseeAgreementRAS.docx" TargetMode="External"/><Relationship Id="rId7" Type="http://schemas.openxmlformats.org/officeDocument/2006/relationships/hyperlink" Target="https://journals.eco-vector.com/0869-5652/about/editorialPolicies#sectionPolicies" TargetMode="External"/><Relationship Id="rId8" Type="http://schemas.openxmlformats.org/officeDocument/2006/relationships/hyperlink" Target="http://pleiades.online/ru/authors/guidlines/prepare-electonic-version/sty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