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Рукописи представляются в редакцию в форматах doc или docx (одним файлом). Кроме основного текста, в начале статьи должны указываться:</w:t>
      </w:r>
    </w:p>
    <w:p w:rsidR="00000000" w:rsidDel="00000000" w:rsidP="00000000" w:rsidRDefault="00000000" w:rsidRPr="00000000" w14:paraId="00000002">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 УДК (универсальный десятичный код);</w:t>
      </w:r>
    </w:p>
    <w:p w:rsidR="00000000" w:rsidDel="00000000" w:rsidP="00000000" w:rsidRDefault="00000000" w:rsidRPr="00000000" w14:paraId="00000003">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 название статьи;</w:t>
      </w:r>
    </w:p>
    <w:p w:rsidR="00000000" w:rsidDel="00000000" w:rsidP="00000000" w:rsidRDefault="00000000" w:rsidRPr="00000000" w14:paraId="00000004">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 фамилия, имя и отчество автора (авторов) полностью;</w:t>
      </w:r>
    </w:p>
    <w:p w:rsidR="00000000" w:rsidDel="00000000" w:rsidP="00000000" w:rsidRDefault="00000000" w:rsidRPr="00000000" w14:paraId="00000005">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 ученая степень, ученое звание, почетное звание (если имеются);</w:t>
      </w:r>
    </w:p>
    <w:p w:rsidR="00000000" w:rsidDel="00000000" w:rsidP="00000000" w:rsidRDefault="00000000" w:rsidRPr="00000000" w14:paraId="00000006">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 должность, место работы автора (авторов);</w:t>
      </w:r>
    </w:p>
    <w:p w:rsidR="00000000" w:rsidDel="00000000" w:rsidP="00000000" w:rsidRDefault="00000000" w:rsidRPr="00000000" w14:paraId="00000007">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 расширенная аннотация (до 250 слов или 10-12 строк), которая должна раскрывать в сжатой форме цель работы, актуальность темы, методы, результаты и перспективы исследования;</w:t>
      </w:r>
    </w:p>
    <w:p w:rsidR="00000000" w:rsidDel="00000000" w:rsidP="00000000" w:rsidRDefault="00000000" w:rsidRPr="00000000" w14:paraId="00000008">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 ключевые слова, словосочетания (5–10);</w:t>
      </w:r>
    </w:p>
    <w:p w:rsidR="00000000" w:rsidDel="00000000" w:rsidP="00000000" w:rsidRDefault="00000000" w:rsidRPr="00000000" w14:paraId="00000009">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 список использованной литературы</w:t>
      </w:r>
    </w:p>
    <w:p w:rsidR="00000000" w:rsidDel="00000000" w:rsidP="00000000" w:rsidRDefault="00000000" w:rsidRPr="00000000" w14:paraId="0000000A">
      <w:pPr>
        <w:pBdr>
          <w:top w:color="auto" w:space="0" w:sz="0" w:val="none"/>
          <w:left w:color="auto" w:space="22" w:sz="0" w:val="none"/>
          <w:bottom w:color="auto" w:space="0" w:sz="0" w:val="none"/>
          <w:right w:color="auto" w:space="0" w:sz="0" w:val="none"/>
          <w:between w:color="auto" w:space="0" w:sz="0" w:val="none"/>
        </w:pBdr>
        <w:shd w:fill="ffffff" w:val="clear"/>
        <w:spacing w:after="340" w:before="340" w:lineRule="auto"/>
        <w:rPr>
          <w:b w:val="1"/>
          <w:color w:val="0066cc"/>
          <w:sz w:val="21"/>
          <w:szCs w:val="21"/>
          <w:highlight w:val="white"/>
        </w:rPr>
      </w:pPr>
      <w:hyperlink r:id="rId6">
        <w:r w:rsidDel="00000000" w:rsidR="00000000" w:rsidRPr="00000000">
          <w:rPr>
            <w:b w:val="1"/>
            <w:color w:val="0066cc"/>
            <w:sz w:val="21"/>
            <w:szCs w:val="21"/>
            <w:highlight w:val="white"/>
            <w:rtl w:val="0"/>
          </w:rPr>
          <w:t xml:space="preserve">Статья должна иметь уникальность свыше 75 %</w:t>
        </w:r>
      </w:hyperlink>
      <w:r w:rsidDel="00000000" w:rsidR="00000000" w:rsidRPr="00000000">
        <w:rPr>
          <w:rtl w:val="0"/>
        </w:rPr>
      </w:r>
    </w:p>
    <w:tbl>
      <w:tblPr>
        <w:tblStyle w:val="Table1"/>
        <w:tblW w:w="9045.0" w:type="dxa"/>
        <w:jc w:val="left"/>
        <w:tblInd w:w="160.0" w:type="pct"/>
        <w:tblBorders>
          <w:top w:color="dddddd" w:space="0" w:sz="7" w:val="single"/>
          <w:left w:color="dddddd" w:space="0" w:sz="7" w:val="single"/>
          <w:bottom w:color="dddddd" w:space="0" w:sz="7" w:val="single"/>
          <w:right w:color="dddddd" w:space="0" w:sz="7" w:val="single"/>
          <w:insideH w:color="dddddd" w:space="0" w:sz="7" w:val="single"/>
          <w:insideV w:color="dddddd" w:space="0" w:sz="7" w:val="single"/>
        </w:tblBorders>
        <w:tblLayout w:type="fixed"/>
        <w:tblLook w:val="0600"/>
      </w:tblPr>
      <w:tblGrid>
        <w:gridCol w:w="1950"/>
        <w:gridCol w:w="7095"/>
        <w:tblGridChange w:id="0">
          <w:tblGrid>
            <w:gridCol w:w="1950"/>
            <w:gridCol w:w="7095"/>
          </w:tblGrid>
        </w:tblGridChange>
      </w:tblGrid>
      <w:tr>
        <w:trPr>
          <w:trHeight w:val="810"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0B">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Формат статьи</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0C">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A4, ориентация — книжная, материалы сохраненные и подготовленные в формате Microsoft Word (*.doc или *.docx)</w:t>
            </w:r>
          </w:p>
        </w:tc>
      </w:tr>
      <w:tr>
        <w:trPr>
          <w:trHeight w:val="585"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0D">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Поля</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0E">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все стороны — 2 см</w:t>
            </w:r>
          </w:p>
        </w:tc>
      </w:tr>
      <w:tr>
        <w:trPr>
          <w:trHeight w:val="810"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0F">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Основной шрифт</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0">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Times New Roman</w:t>
            </w:r>
          </w:p>
        </w:tc>
      </w:tr>
      <w:tr>
        <w:trPr>
          <w:trHeight w:val="1050"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1">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Размер шрифта основного текста</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2">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14 пунктов</w:t>
            </w:r>
          </w:p>
        </w:tc>
      </w:tr>
      <w:tr>
        <w:trPr>
          <w:trHeight w:val="810"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3">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Междустрочный интервал</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4">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полуторный</w:t>
            </w:r>
          </w:p>
        </w:tc>
      </w:tr>
      <w:tr>
        <w:trPr>
          <w:trHeight w:val="810"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5">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Выравнивание текста</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6">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по ширине</w:t>
            </w:r>
          </w:p>
        </w:tc>
      </w:tr>
      <w:tr>
        <w:trPr>
          <w:trHeight w:val="1050"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7">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Абзацный отступ (красная строка)</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8">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1,25 см</w:t>
            </w:r>
          </w:p>
        </w:tc>
      </w:tr>
      <w:tr>
        <w:trPr>
          <w:trHeight w:val="810"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9">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Нумерация страниц</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A">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не ведется</w:t>
            </w:r>
          </w:p>
        </w:tc>
      </w:tr>
      <w:tr>
        <w:trPr>
          <w:trHeight w:val="1755"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B">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Рисунки и таблицы</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C">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необходимо подавать в статье непосредственно после текста, где они упоминаются впервые, или на следующей странице.</w:t>
            </w:r>
          </w:p>
          <w:p w:rsidR="00000000" w:rsidDel="00000000" w:rsidP="00000000" w:rsidRDefault="00000000" w:rsidRPr="00000000" w14:paraId="0000001D">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Размер шрифта табличного текста обычно на 2 пункта меньше основного шрифта. Количество таблиц, формул и иллюстраций должно быть минимальным и уместный. Рисунки и таблицы на альбомных страницах не принимаются.</w:t>
            </w:r>
          </w:p>
        </w:tc>
      </w:tr>
      <w:tr>
        <w:trPr>
          <w:trHeight w:val="810"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E">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Формулы</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1F">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должны быть набраны с помощью редактора формул (внутренний редактор формул в Microsoft Word for Windows).</w:t>
            </w:r>
          </w:p>
        </w:tc>
      </w:tr>
      <w:tr>
        <w:trPr>
          <w:trHeight w:val="810"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20">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Ссылки на литературу</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21">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в квадратных скобках по тексту [1, с. 2], библиографический список в конце текста. Постраничные сноски и ссылки не допускаются</w:t>
            </w:r>
          </w:p>
        </w:tc>
      </w:tr>
      <w:tr>
        <w:trPr>
          <w:trHeight w:val="585" w:hRule="atLeast"/>
        </w:trPr>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22">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Объем</w:t>
            </w:r>
          </w:p>
        </w:tc>
        <w:tc>
          <w:tcPr>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23">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до 10000 печатных знаков вместе с пробелами</w:t>
            </w:r>
          </w:p>
        </w:tc>
      </w:tr>
    </w:tbl>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Пример оформления статьи:</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УДК: 632.937.2.</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jc w:val="right"/>
        <w:rPr>
          <w:b w:val="1"/>
          <w:i w:val="1"/>
          <w:color w:val="555555"/>
          <w:sz w:val="21"/>
          <w:szCs w:val="21"/>
          <w:highlight w:val="white"/>
        </w:rPr>
      </w:pPr>
      <w:r w:rsidDel="00000000" w:rsidR="00000000" w:rsidRPr="00000000">
        <w:rPr>
          <w:b w:val="1"/>
          <w:i w:val="1"/>
          <w:color w:val="555555"/>
          <w:sz w:val="21"/>
          <w:szCs w:val="21"/>
          <w:highlight w:val="white"/>
          <w:rtl w:val="0"/>
        </w:rPr>
        <w:t xml:space="preserve">Анорбаев А.Р.</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jc w:val="right"/>
        <w:rPr>
          <w:b w:val="1"/>
          <w:i w:val="1"/>
          <w:color w:val="555555"/>
          <w:sz w:val="21"/>
          <w:szCs w:val="21"/>
          <w:highlight w:val="white"/>
        </w:rPr>
      </w:pPr>
      <w:r w:rsidDel="00000000" w:rsidR="00000000" w:rsidRPr="00000000">
        <w:rPr>
          <w:b w:val="1"/>
          <w:i w:val="1"/>
          <w:color w:val="555555"/>
          <w:sz w:val="21"/>
          <w:szCs w:val="21"/>
          <w:highlight w:val="white"/>
          <w:rtl w:val="0"/>
        </w:rPr>
        <w:t xml:space="preserve">Сулаймонов Б.А.</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jc w:val="right"/>
        <w:rPr>
          <w:b w:val="1"/>
          <w:i w:val="1"/>
          <w:color w:val="555555"/>
          <w:sz w:val="21"/>
          <w:szCs w:val="21"/>
          <w:highlight w:val="white"/>
        </w:rPr>
      </w:pPr>
      <w:r w:rsidDel="00000000" w:rsidR="00000000" w:rsidRPr="00000000">
        <w:rPr>
          <w:b w:val="1"/>
          <w:i w:val="1"/>
          <w:color w:val="555555"/>
          <w:sz w:val="21"/>
          <w:szCs w:val="21"/>
          <w:highlight w:val="white"/>
          <w:rtl w:val="0"/>
        </w:rPr>
        <w:t xml:space="preserve">Ташкентский Государственный Аграрный Университет</w:t>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jc w:val="center"/>
        <w:rPr>
          <w:b w:val="1"/>
          <w:color w:val="555555"/>
          <w:sz w:val="49"/>
          <w:szCs w:val="49"/>
          <w:highlight w:val="white"/>
        </w:rPr>
      </w:pPr>
      <w:bookmarkStart w:colFirst="0" w:colLast="0" w:name="_h4m4q2xemzhf" w:id="0"/>
      <w:bookmarkEnd w:id="0"/>
      <w:r w:rsidDel="00000000" w:rsidR="00000000" w:rsidRPr="00000000">
        <w:rPr>
          <w:b w:val="1"/>
          <w:color w:val="555555"/>
          <w:sz w:val="49"/>
          <w:szCs w:val="49"/>
          <w:highlight w:val="white"/>
          <w:rtl w:val="0"/>
        </w:rPr>
        <w:t xml:space="preserve">ПРИМЕНЕНИЯ ЯЙЦЕЕДА TRICHOGRAMMA CHILONIS НА РАЗЛИЧНЫЕ ПОКОЛЕНИЯ HELIOTHIS ARMIGERA HUB</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jc w:val="right"/>
        <w:rPr>
          <w:b w:val="1"/>
          <w:i w:val="1"/>
          <w:color w:val="555555"/>
          <w:sz w:val="21"/>
          <w:szCs w:val="21"/>
          <w:highlight w:val="white"/>
        </w:rPr>
      </w:pPr>
      <w:r w:rsidDel="00000000" w:rsidR="00000000" w:rsidRPr="00000000">
        <w:rPr>
          <w:b w:val="1"/>
          <w:color w:val="555555"/>
          <w:sz w:val="21"/>
          <w:szCs w:val="21"/>
          <w:highlight w:val="white"/>
          <w:rtl w:val="0"/>
        </w:rPr>
        <w:t xml:space="preserve"> </w:t>
      </w:r>
      <w:r w:rsidDel="00000000" w:rsidR="00000000" w:rsidRPr="00000000">
        <w:rPr>
          <w:b w:val="1"/>
          <w:i w:val="1"/>
          <w:color w:val="555555"/>
          <w:sz w:val="21"/>
          <w:szCs w:val="21"/>
          <w:highlight w:val="white"/>
          <w:rtl w:val="0"/>
        </w:rPr>
        <w:t xml:space="preserve">Anorbaev A.R.</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jc w:val="right"/>
        <w:rPr>
          <w:b w:val="1"/>
          <w:i w:val="1"/>
          <w:color w:val="555555"/>
          <w:sz w:val="21"/>
          <w:szCs w:val="21"/>
          <w:highlight w:val="white"/>
        </w:rPr>
      </w:pPr>
      <w:r w:rsidDel="00000000" w:rsidR="00000000" w:rsidRPr="00000000">
        <w:rPr>
          <w:b w:val="1"/>
          <w:i w:val="1"/>
          <w:color w:val="555555"/>
          <w:sz w:val="21"/>
          <w:szCs w:val="21"/>
          <w:highlight w:val="white"/>
          <w:rtl w:val="0"/>
        </w:rPr>
        <w:t xml:space="preserve"> Sulaymonov B.A.</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jc w:val="right"/>
        <w:rPr>
          <w:b w:val="1"/>
          <w:i w:val="1"/>
          <w:color w:val="555555"/>
          <w:sz w:val="21"/>
          <w:szCs w:val="21"/>
          <w:highlight w:val="white"/>
        </w:rPr>
      </w:pPr>
      <w:r w:rsidDel="00000000" w:rsidR="00000000" w:rsidRPr="00000000">
        <w:rPr>
          <w:b w:val="1"/>
          <w:i w:val="1"/>
          <w:color w:val="555555"/>
          <w:sz w:val="21"/>
          <w:szCs w:val="21"/>
          <w:highlight w:val="white"/>
          <w:rtl w:val="0"/>
        </w:rPr>
        <w:t xml:space="preserve">Tashkent State Agrarian University</w:t>
      </w:r>
    </w:p>
    <w:p w:rsidR="00000000" w:rsidDel="00000000" w:rsidP="00000000" w:rsidRDefault="00000000" w:rsidRPr="00000000" w14:paraId="000000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20" w:before="420" w:line="240" w:lineRule="auto"/>
        <w:jc w:val="center"/>
        <w:rPr>
          <w:b w:val="1"/>
          <w:color w:val="555555"/>
          <w:sz w:val="49"/>
          <w:szCs w:val="49"/>
          <w:highlight w:val="white"/>
        </w:rPr>
      </w:pPr>
      <w:bookmarkStart w:colFirst="0" w:colLast="0" w:name="_e226z5qm3f7j" w:id="1"/>
      <w:bookmarkEnd w:id="1"/>
      <w:r w:rsidDel="00000000" w:rsidR="00000000" w:rsidRPr="00000000">
        <w:rPr>
          <w:b w:val="1"/>
          <w:color w:val="555555"/>
          <w:sz w:val="49"/>
          <w:szCs w:val="49"/>
          <w:highlight w:val="white"/>
          <w:rtl w:val="0"/>
        </w:rPr>
        <w:t xml:space="preserve">APPLICATIONS OF OVIPHAGES TRICHOGRAMMA CHILONIS ON DIFFERENT GENERATION HELIOTHIS ARMIGERA HUBN</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i w:val="1"/>
          <w:color w:val="555555"/>
          <w:sz w:val="21"/>
          <w:szCs w:val="21"/>
          <w:highlight w:val="white"/>
        </w:rPr>
      </w:pPr>
      <w:r w:rsidDel="00000000" w:rsidR="00000000" w:rsidRPr="00000000">
        <w:rPr>
          <w:b w:val="1"/>
          <w:i w:val="1"/>
          <w:color w:val="555555"/>
          <w:sz w:val="21"/>
          <w:szCs w:val="21"/>
          <w:highlight w:val="white"/>
          <w:rtl w:val="0"/>
        </w:rPr>
        <w:t xml:space="preserve"> Аннотация</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i w:val="1"/>
          <w:color w:val="555555"/>
          <w:sz w:val="21"/>
          <w:szCs w:val="21"/>
          <w:highlight w:val="white"/>
        </w:rPr>
      </w:pPr>
      <w:r w:rsidDel="00000000" w:rsidR="00000000" w:rsidRPr="00000000">
        <w:rPr>
          <w:b w:val="1"/>
          <w:i w:val="1"/>
          <w:color w:val="555555"/>
          <w:sz w:val="21"/>
          <w:szCs w:val="21"/>
          <w:highlight w:val="white"/>
          <w:rtl w:val="0"/>
        </w:rPr>
        <w:t xml:space="preserve">В статье показана эффективность применения биологического метода в борьбе с вредителями новых и перспективных сортов хлопчатника. Приводятся данные о высокой биологической эффективности от применения яйцееда Trichogramma chilonis на различные поколения вредителя Heliothis armigera.</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i w:val="1"/>
          <w:color w:val="555555"/>
          <w:sz w:val="21"/>
          <w:szCs w:val="21"/>
          <w:highlight w:val="white"/>
        </w:rPr>
      </w:pPr>
      <w:r w:rsidDel="00000000" w:rsidR="00000000" w:rsidRPr="00000000">
        <w:rPr>
          <w:b w:val="1"/>
          <w:i w:val="1"/>
          <w:color w:val="555555"/>
          <w:sz w:val="21"/>
          <w:szCs w:val="21"/>
          <w:highlight w:val="white"/>
          <w:rtl w:val="0"/>
        </w:rPr>
        <w:t xml:space="preserve"> Abstract</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i w:val="1"/>
          <w:color w:val="555555"/>
          <w:sz w:val="21"/>
          <w:szCs w:val="21"/>
          <w:highlight w:val="white"/>
        </w:rPr>
      </w:pPr>
      <w:r w:rsidDel="00000000" w:rsidR="00000000" w:rsidRPr="00000000">
        <w:rPr>
          <w:b w:val="1"/>
          <w:i w:val="1"/>
          <w:color w:val="555555"/>
          <w:sz w:val="21"/>
          <w:szCs w:val="21"/>
          <w:highlight w:val="white"/>
          <w:rtl w:val="0"/>
        </w:rPr>
        <w:t xml:space="preserve">The article shоves the efficiency of biological methods to combat pests and promising new varieties of cotton. The data on the high biological effectiveness of the use of Trichogramma chilonis oviphages on different generations of the pest Heliothis armigera.</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i w:val="1"/>
          <w:color w:val="555555"/>
          <w:sz w:val="21"/>
          <w:szCs w:val="21"/>
          <w:highlight w:val="white"/>
        </w:rPr>
      </w:pPr>
      <w:r w:rsidDel="00000000" w:rsidR="00000000" w:rsidRPr="00000000">
        <w:rPr>
          <w:b w:val="1"/>
          <w:i w:val="1"/>
          <w:color w:val="555555"/>
          <w:sz w:val="21"/>
          <w:szCs w:val="21"/>
          <w:highlight w:val="white"/>
          <w:rtl w:val="0"/>
        </w:rPr>
        <w:t xml:space="preserve">Ключевые слова: трихограмма, хлопковая совка, биологическая эффективность, яйца, поколение, паразит, плотность вредителя.</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i w:val="1"/>
          <w:color w:val="555555"/>
          <w:sz w:val="21"/>
          <w:szCs w:val="21"/>
          <w:highlight w:val="white"/>
        </w:rPr>
      </w:pPr>
      <w:r w:rsidDel="00000000" w:rsidR="00000000" w:rsidRPr="00000000">
        <w:rPr>
          <w:b w:val="1"/>
          <w:i w:val="1"/>
          <w:color w:val="555555"/>
          <w:sz w:val="21"/>
          <w:szCs w:val="21"/>
          <w:highlight w:val="white"/>
          <w:rtl w:val="0"/>
        </w:rPr>
        <w:t xml:space="preserve">Key words: trichogramma, cotton bollworm, biological effectiveness, eggs, generation, parasite, density of the pest.</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Хлопчатник является одной из основных сельскохозяйственных культур высеиваемых в Узбекистане. Как известно под данную культуру отведено свыше 1,3 мил. гектар пахотных площадей Республики. В этой связи интегрированная защита растений сельскохозяйственных культур, становится все более актуальной. В решении задач по увеличению урожайности и продуктивности хлопчатника особую роль занимает защита растений. Как и во всем мире в Узбекистане сельскохозяйственные растения повреждаются многими вредителями, от деятельности которых наносится большой экономический ущерб.</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jc w:val="right"/>
        <w:rPr>
          <w:b w:val="1"/>
          <w:color w:val="555555"/>
          <w:sz w:val="21"/>
          <w:szCs w:val="21"/>
          <w:highlight w:val="white"/>
        </w:rPr>
      </w:pPr>
      <w:r w:rsidDel="00000000" w:rsidR="00000000" w:rsidRPr="00000000">
        <w:rPr>
          <w:b w:val="1"/>
          <w:color w:val="555555"/>
          <w:sz w:val="21"/>
          <w:szCs w:val="21"/>
          <w:highlight w:val="white"/>
          <w:rtl w:val="0"/>
        </w:rPr>
        <w:t xml:space="preserve">Таблица-1</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jc w:val="center"/>
        <w:rPr>
          <w:b w:val="1"/>
          <w:i w:val="1"/>
          <w:color w:val="555555"/>
          <w:sz w:val="21"/>
          <w:szCs w:val="21"/>
          <w:highlight w:val="white"/>
        </w:rPr>
      </w:pPr>
      <w:r w:rsidDel="00000000" w:rsidR="00000000" w:rsidRPr="00000000">
        <w:rPr>
          <w:b w:val="1"/>
          <w:i w:val="1"/>
          <w:color w:val="555555"/>
          <w:sz w:val="21"/>
          <w:szCs w:val="21"/>
          <w:highlight w:val="white"/>
          <w:rtl w:val="0"/>
        </w:rPr>
        <w:t xml:space="preserve">Биологический эффективность Trichogramma chilonis против хлопковая совок на хлопчатнике (Учеб.хоз. при ТашГАУ Среднечирчикский район Ташкентский область., 2013г)</w:t>
      </w:r>
    </w:p>
    <w:tbl>
      <w:tblPr>
        <w:tblStyle w:val="Table2"/>
        <w:tblW w:w="9060.0" w:type="dxa"/>
        <w:jc w:val="left"/>
        <w:tblInd w:w="160.0" w:type="pct"/>
        <w:tblBorders>
          <w:top w:color="dddddd" w:space="0" w:sz="7" w:val="single"/>
          <w:left w:color="dddddd" w:space="0" w:sz="7" w:val="single"/>
          <w:bottom w:color="dddddd" w:space="0" w:sz="7" w:val="single"/>
          <w:right w:color="dddddd" w:space="0" w:sz="7" w:val="single"/>
          <w:insideH w:color="dddddd" w:space="0" w:sz="7" w:val="single"/>
          <w:insideV w:color="dddddd" w:space="0" w:sz="7" w:val="single"/>
        </w:tblBorders>
        <w:tblLayout w:type="fixed"/>
        <w:tblLook w:val="0600"/>
      </w:tblPr>
      <w:tblGrid>
        <w:gridCol w:w="1590"/>
        <w:gridCol w:w="1650"/>
        <w:gridCol w:w="1620"/>
        <w:gridCol w:w="1965"/>
        <w:gridCol w:w="2235"/>
        <w:tblGridChange w:id="0">
          <w:tblGrid>
            <w:gridCol w:w="1590"/>
            <w:gridCol w:w="1650"/>
            <w:gridCol w:w="1620"/>
            <w:gridCol w:w="1965"/>
            <w:gridCol w:w="2235"/>
          </w:tblGrid>
        </w:tblGridChange>
      </w:tblGrid>
      <w:tr>
        <w:trPr>
          <w:trHeight w:val="1815" w:hRule="atLeast"/>
        </w:trPr>
        <w:tc>
          <w:tcPr>
            <w:vMerge w:val="restart"/>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680" w:before="68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Дата учет выпуск паразиты</w:t>
            </w:r>
          </w:p>
        </w:tc>
        <w:tc>
          <w:tcPr>
            <w:vMerge w:val="restart"/>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38">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Варианты опыта</w:t>
            </w:r>
          </w:p>
        </w:tc>
        <w:tc>
          <w:tcPr>
            <w:gridSpan w:val="2"/>
            <w:tcBorders>
              <w:top w:color="dddddd" w:space="0" w:sz="7" w:val="single"/>
              <w:left w:color="dddddd" w:space="0" w:sz="7" w:val="single"/>
              <w:bottom w:color="dddddd" w:space="0" w:sz="7" w:val="single"/>
              <w:right w:color="dddddd" w:space="0" w:sz="7" w:val="single"/>
            </w:tcBorders>
            <w:tcMar>
              <w:top w:w="160.0" w:type="dxa"/>
              <w:left w:w="160.0" w:type="dxa"/>
              <w:bottom w:w="160.0" w:type="dxa"/>
              <w:right w:w="160.0" w:type="dxa"/>
            </w:tcMar>
            <w:vAlign w:val="center"/>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680" w:before="68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Среднее количество</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680" w:before="68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Яиц/ 100 растений</w:t>
            </w:r>
          </w:p>
        </w:tc>
        <w:tc>
          <w:tcPr>
            <w:vMerge w:val="restart"/>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3C">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Биологическая эффективность, %</w:t>
            </w:r>
          </w:p>
        </w:tc>
      </w:tr>
      <w:tr>
        <w:trPr>
          <w:trHeight w:val="810" w:hRule="atLeast"/>
        </w:trPr>
        <w:tc>
          <w:tcPr>
            <w:vMerge w:val="continue"/>
            <w:tcBorders>
              <w:bottom w:color="dddddd" w:space="0" w:sz="7" w:val="single"/>
              <w:right w:color="dddddd"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after="340" w:before="340" w:lineRule="auto"/>
              <w:rPr>
                <w:b w:val="1"/>
                <w:color w:val="555555"/>
                <w:sz w:val="21"/>
                <w:szCs w:val="21"/>
                <w:highlight w:val="white"/>
              </w:rPr>
            </w:pPr>
            <w:r w:rsidDel="00000000" w:rsidR="00000000" w:rsidRPr="00000000">
              <w:rPr>
                <w:rtl w:val="0"/>
              </w:rPr>
            </w:r>
          </w:p>
        </w:tc>
        <w:tc>
          <w:tcPr>
            <w:vMerge w:val="continue"/>
            <w:tcBorders>
              <w:bottom w:color="dddddd" w:space="0" w:sz="7" w:val="single"/>
              <w:right w:color="dddddd"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after="340" w:before="340" w:lineRule="auto"/>
              <w:rPr>
                <w:b w:val="1"/>
                <w:color w:val="555555"/>
                <w:sz w:val="21"/>
                <w:szCs w:val="21"/>
                <w:highlight w:val="white"/>
              </w:rPr>
            </w:pPr>
            <w:r w:rsidDel="00000000" w:rsidR="00000000" w:rsidRPr="00000000">
              <w:rPr>
                <w:rtl w:val="0"/>
              </w:rPr>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3F">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До выпуск</w:t>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40">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После выпуск зараженных яиц</w:t>
            </w:r>
          </w:p>
        </w:tc>
        <w:tc>
          <w:tcPr>
            <w:vMerge w:val="continue"/>
            <w:tcBorders>
              <w:bottom w:color="dddddd" w:space="0" w:sz="7" w:val="single"/>
              <w:right w:color="dddddd"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after="340" w:before="340" w:lineRule="auto"/>
              <w:rPr>
                <w:b w:val="1"/>
                <w:color w:val="555555"/>
                <w:sz w:val="21"/>
                <w:szCs w:val="21"/>
                <w:highlight w:val="white"/>
              </w:rPr>
            </w:pPr>
            <w:r w:rsidDel="00000000" w:rsidR="00000000" w:rsidRPr="00000000">
              <w:rPr>
                <w:rtl w:val="0"/>
              </w:rPr>
            </w:r>
          </w:p>
        </w:tc>
      </w:tr>
      <w:tr>
        <w:trPr>
          <w:trHeight w:val="585" w:hRule="atLeast"/>
        </w:trPr>
        <w:tc>
          <w:tcPr>
            <w:gridSpan w:val="5"/>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42">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Первое поколение вредителя</w:t>
            </w:r>
          </w:p>
        </w:tc>
      </w:tr>
      <w:tr>
        <w:trPr>
          <w:trHeight w:val="585" w:hRule="atLeast"/>
        </w:trPr>
        <w:tc>
          <w:tcPr>
            <w:vMerge w:val="restart"/>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47">
            <w:pPr>
              <w:spacing w:after="340" w:before="340" w:lineRule="auto"/>
              <w:rPr>
                <w:b w:val="1"/>
                <w:color w:val="555555"/>
                <w:sz w:val="21"/>
                <w:szCs w:val="21"/>
                <w:highlight w:val="white"/>
              </w:rPr>
            </w:pPr>
            <w:r w:rsidDel="00000000" w:rsidR="00000000" w:rsidRPr="00000000">
              <w:rPr>
                <w:b w:val="1"/>
                <w:color w:val="555555"/>
                <w:sz w:val="21"/>
                <w:szCs w:val="21"/>
                <w:highlight w:val="white"/>
                <w:rtl w:val="0"/>
              </w:rPr>
              <w:t xml:space="preserve">25.05 -05.06.</w:t>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48">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1</w:t>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49">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34,0</w:t>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4A">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24,0</w:t>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4B">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70,0</w:t>
            </w:r>
          </w:p>
        </w:tc>
      </w:tr>
      <w:tr>
        <w:trPr>
          <w:trHeight w:val="585" w:hRule="atLeast"/>
        </w:trPr>
        <w:tc>
          <w:tcPr>
            <w:vMerge w:val="continue"/>
            <w:tcBorders>
              <w:bottom w:color="dddddd" w:space="0" w:sz="7" w:val="single"/>
              <w:right w:color="dddddd"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after="340" w:before="340" w:lineRule="auto"/>
              <w:rPr>
                <w:b w:val="1"/>
                <w:color w:val="555555"/>
                <w:sz w:val="21"/>
                <w:szCs w:val="21"/>
                <w:highlight w:val="white"/>
              </w:rPr>
            </w:pPr>
            <w:r w:rsidDel="00000000" w:rsidR="00000000" w:rsidRPr="00000000">
              <w:rPr>
                <w:rtl w:val="0"/>
              </w:rPr>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4D">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2</w:t>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4E">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31,0</w:t>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4F">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23,0</w:t>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50">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74,1</w:t>
            </w:r>
          </w:p>
        </w:tc>
      </w:tr>
      <w:tr>
        <w:trPr>
          <w:trHeight w:val="585" w:hRule="atLeast"/>
        </w:trPr>
        <w:tc>
          <w:tcPr>
            <w:vMerge w:val="continue"/>
            <w:tcBorders>
              <w:bottom w:color="dddddd" w:space="0" w:sz="7" w:val="single"/>
              <w:right w:color="dddddd"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after="340" w:before="340" w:lineRule="auto"/>
              <w:rPr>
                <w:b w:val="1"/>
                <w:color w:val="555555"/>
                <w:sz w:val="21"/>
                <w:szCs w:val="21"/>
                <w:highlight w:val="white"/>
              </w:rPr>
            </w:pPr>
            <w:r w:rsidDel="00000000" w:rsidR="00000000" w:rsidRPr="00000000">
              <w:rPr>
                <w:rtl w:val="0"/>
              </w:rPr>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52">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контроль</w:t>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53">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38,0</w:t>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54">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5,0</w:t>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55">
            <w:pP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13,0</w:t>
            </w:r>
          </w:p>
        </w:tc>
      </w:tr>
      <w:tr>
        <w:trPr>
          <w:trHeight w:val="345" w:hRule="atLeast"/>
        </w:trPr>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56">
            <w:pPr>
              <w:spacing w:after="340" w:before="340" w:lineRule="auto"/>
              <w:rPr>
                <w:b w:val="1"/>
                <w:color w:val="555555"/>
                <w:sz w:val="21"/>
                <w:szCs w:val="21"/>
                <w:highlight w:val="white"/>
              </w:rPr>
            </w:pPr>
            <w:r w:rsidDel="00000000" w:rsidR="00000000" w:rsidRPr="00000000">
              <w:rPr>
                <w:rtl w:val="0"/>
              </w:rPr>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57">
            <w:pPr>
              <w:spacing w:after="340" w:before="340" w:lineRule="auto"/>
              <w:rPr>
                <w:b w:val="1"/>
                <w:color w:val="555555"/>
                <w:sz w:val="21"/>
                <w:szCs w:val="21"/>
                <w:highlight w:val="white"/>
              </w:rPr>
            </w:pPr>
            <w:r w:rsidDel="00000000" w:rsidR="00000000" w:rsidRPr="00000000">
              <w:rPr>
                <w:rtl w:val="0"/>
              </w:rPr>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58">
            <w:pPr>
              <w:spacing w:after="340" w:before="340" w:lineRule="auto"/>
              <w:rPr>
                <w:b w:val="1"/>
                <w:color w:val="555555"/>
                <w:sz w:val="21"/>
                <w:szCs w:val="21"/>
                <w:highlight w:val="white"/>
              </w:rPr>
            </w:pPr>
            <w:r w:rsidDel="00000000" w:rsidR="00000000" w:rsidRPr="00000000">
              <w:rPr>
                <w:rtl w:val="0"/>
              </w:rPr>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59">
            <w:pPr>
              <w:spacing w:after="340" w:before="340" w:lineRule="auto"/>
              <w:rPr>
                <w:b w:val="1"/>
                <w:color w:val="555555"/>
                <w:sz w:val="21"/>
                <w:szCs w:val="21"/>
                <w:highlight w:val="white"/>
              </w:rPr>
            </w:pPr>
            <w:r w:rsidDel="00000000" w:rsidR="00000000" w:rsidRPr="00000000">
              <w:rPr>
                <w:rtl w:val="0"/>
              </w:rPr>
            </w:r>
          </w:p>
        </w:tc>
        <w:tc>
          <w:tcPr>
            <w:tcBorders>
              <w:top w:color="dddddd" w:space="0" w:sz="7" w:val="single"/>
              <w:left w:color="dddddd" w:space="0" w:sz="7" w:val="single"/>
              <w:bottom w:color="dddddd" w:space="0" w:sz="7" w:val="single"/>
              <w:right w:color="dddddd" w:space="0" w:sz="7" w:val="single"/>
            </w:tcBorders>
            <w:shd w:fill="auto" w:val="clear"/>
            <w:tcMar>
              <w:top w:w="160.0" w:type="dxa"/>
              <w:left w:w="160.0" w:type="dxa"/>
              <w:bottom w:w="160.0" w:type="dxa"/>
              <w:right w:w="160.0" w:type="dxa"/>
            </w:tcMar>
            <w:vAlign w:val="center"/>
          </w:tcPr>
          <w:p w:rsidR="00000000" w:rsidDel="00000000" w:rsidP="00000000" w:rsidRDefault="00000000" w:rsidRPr="00000000" w14:paraId="0000005A">
            <w:pPr>
              <w:spacing w:after="340" w:before="340" w:lineRule="auto"/>
              <w:rPr>
                <w:b w:val="1"/>
                <w:color w:val="555555"/>
                <w:sz w:val="21"/>
                <w:szCs w:val="21"/>
                <w:highlight w:val="white"/>
              </w:rPr>
            </w:pPr>
            <w:r w:rsidDel="00000000" w:rsidR="00000000" w:rsidRPr="00000000">
              <w:rPr>
                <w:rtl w:val="0"/>
              </w:rPr>
            </w:r>
          </w:p>
        </w:tc>
      </w:tr>
    </w:tbl>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340" w:before="340" w:lineRule="auto"/>
        <w:jc w:val="center"/>
        <w:rPr>
          <w:b w:val="1"/>
          <w:color w:val="555555"/>
          <w:sz w:val="21"/>
          <w:szCs w:val="21"/>
          <w:highlight w:val="white"/>
        </w:rPr>
      </w:pPr>
      <w:r w:rsidDel="00000000" w:rsidR="00000000" w:rsidRPr="00000000">
        <w:rPr>
          <w:b w:val="1"/>
          <w:color w:val="555555"/>
          <w:sz w:val="21"/>
          <w:szCs w:val="21"/>
          <w:highlight w:val="white"/>
          <w:rtl w:val="0"/>
        </w:rPr>
        <w:t xml:space="preserve">Список литературы</w:t>
      </w:r>
    </w:p>
    <w:p w:rsidR="00000000" w:rsidDel="00000000" w:rsidP="00000000" w:rsidRDefault="00000000" w:rsidRPr="00000000" w14:paraId="0000005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rPr>
          <w:b w:val="1"/>
          <w:highlight w:val="white"/>
        </w:rPr>
      </w:pPr>
      <w:r w:rsidDel="00000000" w:rsidR="00000000" w:rsidRPr="00000000">
        <w:rPr>
          <w:b w:val="1"/>
          <w:color w:val="555555"/>
          <w:sz w:val="21"/>
          <w:szCs w:val="21"/>
          <w:highlight w:val="white"/>
          <w:rtl w:val="0"/>
        </w:rPr>
        <w:t xml:space="preserve">Кимсанбоев Х.Х., Сулаймонов Б.А., Рашидов М.И., Болтаев Б.С.. Ғўза зараркунандаларига қарши биолабораторияларда ҳашаротларни кўпайтириш ва қўллаш асослари. –Тошкент. 2007. -С.4-5.</w:t>
      </w:r>
    </w:p>
    <w:p w:rsidR="00000000" w:rsidDel="00000000" w:rsidP="00000000" w:rsidRDefault="00000000" w:rsidRPr="00000000" w14:paraId="0000005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rPr>
          <w:b w:val="1"/>
          <w:highlight w:val="white"/>
        </w:rPr>
      </w:pPr>
      <w:r w:rsidDel="00000000" w:rsidR="00000000" w:rsidRPr="00000000">
        <w:rPr>
          <w:b w:val="1"/>
          <w:color w:val="555555"/>
          <w:sz w:val="21"/>
          <w:szCs w:val="21"/>
          <w:highlight w:val="white"/>
          <w:rtl w:val="0"/>
        </w:rPr>
        <w:t xml:space="preserve">Ларченко К.И., Запевалова С.Б. Методика прогнозирования численности вредителей хлопчатника и другие сельскохозяйственных культур. -Ташкент.1973. –С 79.</w:t>
      </w:r>
    </w:p>
    <w:p w:rsidR="00000000" w:rsidDel="00000000" w:rsidP="00000000" w:rsidRDefault="00000000" w:rsidRPr="00000000" w14:paraId="0000005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rPr>
          <w:b w:val="1"/>
          <w:highlight w:val="white"/>
        </w:rPr>
      </w:pPr>
      <w:r w:rsidDel="00000000" w:rsidR="00000000" w:rsidRPr="00000000">
        <w:rPr>
          <w:b w:val="1"/>
          <w:color w:val="555555"/>
          <w:sz w:val="21"/>
          <w:szCs w:val="21"/>
          <w:highlight w:val="white"/>
          <w:rtl w:val="0"/>
        </w:rPr>
        <w:t xml:space="preserve">Поспелов С.М. Совки вредители сельскохозяйственных культур. — М.: Колос, 1969. –С 126.</w:t>
      </w:r>
    </w:p>
    <w:p w:rsidR="00000000" w:rsidDel="00000000" w:rsidP="00000000" w:rsidRDefault="00000000" w:rsidRPr="00000000" w14:paraId="0000005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rPr>
          <w:b w:val="1"/>
          <w:highlight w:val="white"/>
        </w:rPr>
      </w:pPr>
      <w:r w:rsidDel="00000000" w:rsidR="00000000" w:rsidRPr="00000000">
        <w:rPr>
          <w:b w:val="1"/>
          <w:color w:val="555555"/>
          <w:sz w:val="21"/>
          <w:szCs w:val="21"/>
          <w:highlight w:val="white"/>
          <w:rtl w:val="0"/>
        </w:rPr>
        <w:t xml:space="preserve">Поспелов С.М., Арсеньева М.В., Г.С. Груздев, Большой Советская Энциклопедия. Раздел Защита растений. -Москва 1973. -С</w:t>
      </w:r>
    </w:p>
    <w:p w:rsidR="00000000" w:rsidDel="00000000" w:rsidP="00000000" w:rsidRDefault="00000000" w:rsidRPr="00000000" w14:paraId="0000006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rPr>
          <w:b w:val="1"/>
          <w:highlight w:val="white"/>
        </w:rPr>
      </w:pPr>
      <w:r w:rsidDel="00000000" w:rsidR="00000000" w:rsidRPr="00000000">
        <w:rPr>
          <w:b w:val="1"/>
          <w:color w:val="555555"/>
          <w:sz w:val="21"/>
          <w:szCs w:val="21"/>
          <w:highlight w:val="white"/>
          <w:rtl w:val="0"/>
        </w:rPr>
        <w:t xml:space="preserve">Сомов И.А. Хлопковый коробочный червь в Средней Азии и меры борьбы с ним. — Ташкент 1964. –C</w:t>
      </w:r>
    </w:p>
    <w:p w:rsidR="00000000" w:rsidDel="00000000" w:rsidP="00000000" w:rsidRDefault="00000000" w:rsidRPr="00000000" w14:paraId="0000006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77.14285714285717" w:lineRule="auto"/>
        <w:ind w:left="720" w:right="320" w:hanging="360"/>
        <w:rPr>
          <w:b w:val="1"/>
          <w:highlight w:val="white"/>
        </w:rPr>
      </w:pPr>
      <w:r w:rsidDel="00000000" w:rsidR="00000000" w:rsidRPr="00000000">
        <w:rPr>
          <w:b w:val="1"/>
          <w:color w:val="555555"/>
          <w:sz w:val="21"/>
          <w:szCs w:val="21"/>
          <w:highlight w:val="white"/>
          <w:rtl w:val="0"/>
        </w:rPr>
        <w:t xml:space="preserve">Танский В.И., Чижова Л.И. — Способность хлопчатника компенсировать потери генеративных органов и вредоносность хлопковой совки. Тр.ВИЗР, вып. 32.Т2.1972. –C</w:t>
      </w:r>
    </w:p>
    <w:p w:rsidR="00000000" w:rsidDel="00000000" w:rsidP="00000000" w:rsidRDefault="00000000" w:rsidRPr="00000000" w14:paraId="00000062">
      <w:pPr>
        <w:numPr>
          <w:ilvl w:val="0"/>
          <w:numId w:val="1"/>
        </w:numPr>
        <w:pBdr>
          <w:top w:color="auto" w:space="0" w:sz="0" w:val="none"/>
          <w:bottom w:color="auto" w:space="0" w:sz="0" w:val="none"/>
          <w:right w:color="auto" w:space="0" w:sz="0" w:val="none"/>
          <w:between w:color="auto" w:space="0" w:sz="0" w:val="none"/>
        </w:pBdr>
        <w:shd w:fill="ffffff" w:val="clear"/>
        <w:spacing w:after="640" w:line="377.14285714285717" w:lineRule="auto"/>
        <w:ind w:left="720" w:right="320" w:hanging="360"/>
        <w:rPr>
          <w:b w:val="1"/>
          <w:highlight w:val="white"/>
        </w:rPr>
      </w:pPr>
      <w:r w:rsidDel="00000000" w:rsidR="00000000" w:rsidRPr="00000000">
        <w:rPr>
          <w:b w:val="1"/>
          <w:color w:val="555555"/>
          <w:sz w:val="21"/>
          <w:szCs w:val="21"/>
          <w:highlight w:val="white"/>
          <w:rtl w:val="0"/>
        </w:rPr>
        <w:t xml:space="preserve">Танский В.И. и др., Биологическая индикация (назначения, подходы и методы исследований). Краснодар 2000. –C 84-86.</w:t>
      </w:r>
    </w:p>
    <w:p w:rsidR="00000000" w:rsidDel="00000000" w:rsidP="00000000" w:rsidRDefault="00000000" w:rsidRPr="00000000" w14:paraId="00000063">
      <w:pPr>
        <w:rPr>
          <w:b w:val="1"/>
          <w:color w:val="212121"/>
          <w:sz w:val="21"/>
          <w:szCs w:val="21"/>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lloquium-journal.org/kodeks-etiki-nauchnyih-publikats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