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38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К публикации в журнале принимаются статьи объемом до 8 страниц включительно,если количество страниц превышает эту цифру,то за каждую дополнительную страницу взимается плата.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междустрочный интервал – 1,5; выравнивание по ширине; абзацный отступ 1 см; ориентация листа – книжная. Все рисунки и таблицы должны быть пронумерованы и снабжены названиями или подрисуночными подписями.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Оформление заголовка: (прописными, жирными буквами, выравнивание по центру строки) НАЗВАНИЕ СТАТЬИ; на следующей строке (шрифт - жирный курсив, выравнивание по правому краю) – Ф.И.О. автора статьи полностью; на следующей строке (шрифт - курсив, выравнивание по правому краю) – ученое звание, ученая степень, название вуза, город, место работы.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Аннотации и ключевые слова на 2-х языках(на выбор).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Через 1 строку – текст статьи.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beforeAutospacing="0" w:line="313.04347826086956" w:lineRule="auto"/>
        <w:ind w:left="1080" w:hanging="360"/>
      </w:pPr>
      <w:r w:rsidDel="00000000" w:rsidR="00000000" w:rsidRPr="00000000">
        <w:rPr>
          <w:color w:val="666666"/>
          <w:sz w:val="23"/>
          <w:szCs w:val="23"/>
          <w:rtl w:val="0"/>
        </w:rPr>
        <w:t xml:space="preserve">Через 1 строку - надпись «Список литературы». После нее приводится список литературы в алфавитном порядке, со сквозной нумерацией, оформленный в соответствии с ГОСТ Р 7.0.5 – 2008 (пример оформления).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54.11764705882354" w:lineRule="auto"/>
        <w:jc w:val="center"/>
        <w:rPr>
          <w:b w:val="1"/>
          <w:color w:val="006bb8"/>
          <w:sz w:val="30"/>
          <w:szCs w:val="30"/>
        </w:rPr>
      </w:pPr>
      <w:bookmarkStart w:colFirst="0" w:colLast="0" w:name="_i0xtvli5fea4" w:id="0"/>
      <w:bookmarkEnd w:id="0"/>
      <w:r w:rsidDel="00000000" w:rsidR="00000000" w:rsidRPr="00000000">
        <w:rPr>
          <w:b w:val="1"/>
          <w:color w:val="006bb8"/>
          <w:sz w:val="30"/>
          <w:szCs w:val="30"/>
          <w:rtl w:val="0"/>
        </w:rPr>
        <w:t xml:space="preserve">Пример оформления статьи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center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СЦИНТИЛЛЯЦИОННЫЙ МЕТОД КОНТРОЛЯ ЭЛЕКТРОМАГНИТНОГО ИЗЛУЧЕНИЯ В ПНЕВМАТИЧЕСКОМ СООРУЖЕНИИ И ВКЛЮЧЕНИЕ СИСТЕМЫ ЗАЩИТЫ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b w:val="1"/>
          <w:i w:val="1"/>
          <w:color w:val="404040"/>
          <w:sz w:val="23"/>
          <w:szCs w:val="23"/>
        </w:rPr>
      </w:pPr>
      <w:r w:rsidDel="00000000" w:rsidR="00000000" w:rsidRPr="00000000">
        <w:rPr>
          <w:b w:val="1"/>
          <w:i w:val="1"/>
          <w:color w:val="404040"/>
          <w:sz w:val="23"/>
          <w:szCs w:val="23"/>
          <w:rtl w:val="0"/>
        </w:rPr>
        <w:t xml:space="preserve">Жуков Георгий Петрович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i w:val="1"/>
          <w:color w:val="404040"/>
          <w:sz w:val="23"/>
          <w:szCs w:val="23"/>
        </w:rPr>
      </w:pPr>
      <w:r w:rsidDel="00000000" w:rsidR="00000000" w:rsidRPr="00000000">
        <w:rPr>
          <w:i w:val="1"/>
          <w:color w:val="404040"/>
          <w:sz w:val="23"/>
          <w:szCs w:val="23"/>
          <w:rtl w:val="0"/>
        </w:rPr>
        <w:t xml:space="preserve">канд. техн. наук, Поволжский государственный университет сервиса,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i w:val="1"/>
          <w:color w:val="404040"/>
          <w:sz w:val="23"/>
          <w:szCs w:val="23"/>
        </w:rPr>
      </w:pPr>
      <w:r w:rsidDel="00000000" w:rsidR="00000000" w:rsidRPr="00000000">
        <w:rPr>
          <w:i w:val="1"/>
          <w:color w:val="404040"/>
          <w:sz w:val="23"/>
          <w:szCs w:val="23"/>
          <w:rtl w:val="0"/>
        </w:rPr>
        <w:t xml:space="preserve">445017, РФ, Самарская область, г. Тольятти, ул. Гагарина, дом № 4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center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THE SCINTILLATION METHOD OF ELECTROMAGNETIC RADIATION CONTROL IN THE AIR-INFLATED STRUCTURE AND PROTECTION SYSTEM SWITCHING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b w:val="1"/>
          <w:i w:val="1"/>
          <w:color w:val="404040"/>
          <w:sz w:val="23"/>
          <w:szCs w:val="23"/>
        </w:rPr>
      </w:pPr>
      <w:r w:rsidDel="00000000" w:rsidR="00000000" w:rsidRPr="00000000">
        <w:rPr>
          <w:b w:val="1"/>
          <w:i w:val="1"/>
          <w:color w:val="404040"/>
          <w:sz w:val="23"/>
          <w:szCs w:val="23"/>
          <w:rtl w:val="0"/>
        </w:rPr>
        <w:t xml:space="preserve">Georgy Zhukovh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i w:val="1"/>
          <w:color w:val="404040"/>
          <w:sz w:val="23"/>
          <w:szCs w:val="23"/>
        </w:rPr>
      </w:pPr>
      <w:r w:rsidDel="00000000" w:rsidR="00000000" w:rsidRPr="00000000">
        <w:rPr>
          <w:i w:val="1"/>
          <w:color w:val="404040"/>
          <w:sz w:val="23"/>
          <w:szCs w:val="23"/>
          <w:rtl w:val="0"/>
        </w:rPr>
        <w:t xml:space="preserve">candidate of Technical Sciences, Volga Region State University of Service,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right"/>
        <w:rPr>
          <w:i w:val="1"/>
          <w:color w:val="404040"/>
          <w:sz w:val="23"/>
          <w:szCs w:val="23"/>
        </w:rPr>
      </w:pPr>
      <w:r w:rsidDel="00000000" w:rsidR="00000000" w:rsidRPr="00000000">
        <w:rPr>
          <w:i w:val="1"/>
          <w:color w:val="404040"/>
          <w:sz w:val="23"/>
          <w:szCs w:val="23"/>
          <w:rtl w:val="0"/>
        </w:rPr>
        <w:t xml:space="preserve">445017, Russia, Samara Region, Tolyatti, Gagarina Street, 4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center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center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АННОТАЦИЯ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Краткая информация, отражающая основное содержание статьи.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jc w:val="center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ABSTRACT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A summary, reflecting the subject matter of the article 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Ключевые слова:</w:t>
      </w:r>
      <w:r w:rsidDel="00000000" w:rsidR="00000000" w:rsidRPr="00000000">
        <w:rPr>
          <w:color w:val="404040"/>
          <w:sz w:val="23"/>
          <w:szCs w:val="23"/>
          <w:rtl w:val="0"/>
        </w:rPr>
        <w:t xml:space="preserve"> ключевые слова, ключевые слова, ключевые слова, ключевые слова.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Keywords:</w:t>
      </w:r>
      <w:r w:rsidDel="00000000" w:rsidR="00000000" w:rsidRPr="00000000">
        <w:rPr>
          <w:color w:val="404040"/>
          <w:sz w:val="23"/>
          <w:szCs w:val="23"/>
          <w:rtl w:val="0"/>
        </w:rPr>
        <w:t xml:space="preserve"> keywords, keywords, keywords, keywords.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1. Емельянов В.М., Коханов В.Н., Некрасов П.А. Защита населения и территорий в чрезвычайных ситуациях: Учебное пособие для высшей школы / под ред. В.В. Тарасова. — 2-е изд. — М. : Академический Проект: Трикста, 2004. — 480 с.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2. Заявка № 2014141230/03(066826), 04.10.2014 Пневматическое сооружение / Жуков Г.П., Жуков С.Г.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3. О радиационной безопасности населения: федер. закон Рос. Федерации от 9 января 1996 г. № 3-ФЗ : принят Гос. Думой РФ 5 декабря 1995 г. // Рос. газ. — 17 января 1996. — № 9.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b w:val="1"/>
          <w:color w:val="404040"/>
          <w:sz w:val="23"/>
          <w:szCs w:val="23"/>
        </w:rPr>
      </w:pPr>
      <w:r w:rsidDel="00000000" w:rsidR="00000000" w:rsidRPr="00000000">
        <w:rPr>
          <w:b w:val="1"/>
          <w:color w:val="404040"/>
          <w:sz w:val="23"/>
          <w:szCs w:val="23"/>
          <w:rtl w:val="0"/>
        </w:rPr>
        <w:t xml:space="preserve">References: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1. Emelyanov V.M., Kokhanov V.N., Nekrasov P.A. Population and territory protection in emergency situations. 2d ed. Мoscow, Akademicheskiy Proekt Triksta Publ., 2004. 480 p. (In Russian).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2. Zhukov G.P., Zhukov S.G. Application no. 2014141230/03(066826) from 04 October 2014. Air-inflated structure.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(In Russian).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3. On radiation safety of population: Federal Law of Russian Federation from 9 January 1996. no. 3-FZ: accepted by State Duma of Russian Federation on 5 December 1995. Rossijskaja gazeta, [Russian newspaper], 17 January 1996. no. 9.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409.5" w:lineRule="auto"/>
        <w:rPr>
          <w:color w:val="404040"/>
          <w:sz w:val="23"/>
          <w:szCs w:val="23"/>
        </w:rPr>
      </w:pPr>
      <w:r w:rsidDel="00000000" w:rsidR="00000000" w:rsidRPr="00000000">
        <w:rPr>
          <w:color w:val="404040"/>
          <w:sz w:val="23"/>
          <w:szCs w:val="23"/>
          <w:rtl w:val="0"/>
        </w:rPr>
        <w:t xml:space="preserve">(In Russian).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