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820" w:lineRule="auto"/>
        <w:ind w:left="-220" w:right="-220" w:firstLine="0"/>
        <w:rPr>
          <w:i w:val="1"/>
          <w:color w:val="535353"/>
          <w:sz w:val="20"/>
          <w:szCs w:val="20"/>
        </w:rPr>
      </w:pP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Для подачи рукописи на рассмотрение перейдите к </w:t>
      </w:r>
      <w:hyperlink r:id="rId6">
        <w:r w:rsidDel="00000000" w:rsidR="00000000" w:rsidRPr="00000000">
          <w:rPr>
            <w:i w:val="1"/>
            <w:sz w:val="20"/>
            <w:szCs w:val="20"/>
            <w:rtl w:val="0"/>
          </w:rPr>
          <w:t xml:space="preserve">форме</w:t>
        </w:r>
      </w:hyperlink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, по электронной почте статьи не принимаются.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Авторский материал может быть представлен как: Оригинальная статья (8–16 страниц), Обзор или обзорная статья (16–32 страниц).</w:t>
        <w:br w:type="textWrapping"/>
        <w:t xml:space="preserve">Рекомендуемый объем статей – 10-15 страниц формата А4 с учетом графических вложений. Не следует перегружать статью значительным количеством графических вложений: рисунков и фотографий не должно быть больше 6; диаграмм, графиков, таблиц – 4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Число авторов статьи, как правило, не должно превышать трех человек.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Авторы должны придерживаться следующей обобщенной структуры статьи: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вводная часть (актуальность, существующие проблемы — объем 0,5-1 стр.);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основная часть (постановка и описание задачи, методика исследования, изложение и обсуждение основных результатов);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заключительная часть (предложения, выводы — объем 0,5-1 стр.);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список литературы (оформление по ГОСТ 7.1-2003).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Каждая статья должна содержать аннотацию на русском и английском языке (Abstract). Аннотация размещается в начале статьи и содержит в себе следующие элементы: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УДК (посмотреть можно 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здесь</w:t>
        </w:r>
      </w:hyperlink>
      <w:r w:rsidDel="00000000" w:rsidR="00000000" w:rsidRPr="00000000">
        <w:rPr>
          <w:color w:val="535353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ГРНТИ (посмотреть можно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здесь</w:t>
        </w:r>
      </w:hyperlink>
      <w:r w:rsidDel="00000000" w:rsidR="00000000" w:rsidRPr="00000000">
        <w:rPr>
          <w:color w:val="535353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Заголовок статьи.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ФИО авторов.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Наименования и адреса организаций, где выполнялась работа.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Контактный email автора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Резюме, содержащее основные сведения о цели и предмете исследования. Резюме представляет собой сжатый (не менее 100-150 слов) обзор содержания работы и указывает на ключевые проблемы, к которым обращается автор, на подход к этим проблемам и на достижения автора в их решении. Резюме не должно содержать акронимов, ссылок на другие работы (за исключением случаев, когда сама статья посвящена обсуждению работы другого автора).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Ключевые слова (не более 10 словосочетаний).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Предоставляемую к публикации в журнале статью необходимо оформить по предлагаемому </w:t>
      </w:r>
      <w:r w:rsidDel="00000000" w:rsidR="00000000" w:rsidRPr="00000000">
        <w:rPr>
          <w:color w:val="535353"/>
          <w:sz w:val="20"/>
          <w:szCs w:val="20"/>
          <w:u w:val="single"/>
          <w:rtl w:val="0"/>
        </w:rPr>
        <w:t xml:space="preserve">образцу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Набор текста осуществляется в редакторе МS Word (формат файла .docx/.doc).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Текст набирается без жестких концов строк и переносов, без применения макрокоманд и шаблонов.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Все сокращения должны быть расшифрованы при первом упоминании.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Шрифт – Times New Roman, размер шрифта основного текста – 14, интервал – 1,5. Таблицы большого размера могут быть набраны шрифтом 12 размера.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Параметры страницы: поля слева 3 см, сверху и снизу 2 см, справа 1,5 см. Текст размещается без переносов. Абзацный отступ – 1 см.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Таблицы набираются в тексте.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Изображения (фотографии) располагаются по тексту статьи в формате .bmp (предпочтительно) или .jpeg, разрешение 300 dpi. Диаграммы, схемы, графики вставляются в текст с возможностью редактирования. К публикации принимаются как черно-белые так и цветные иллюстрации.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Формулы выполняются в редакторе МS Equation или MathType (не во встроенном редакторе Word 2007-2012). Простые формулы, символы и обозначения набираются без использования редактора формул. Перенос длинных формул выполняется так, чтобы длина каждой строки не превышала ширину колонки (8.5 см).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В числах десятичным разделителем является точка (это относится и к рисункам).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Ссылки на цитируемую литературу даются цифрами, заключенными в квадратные скобки, например: [1]. В случае необходимости указания страницы её номер приводится после номера ссылки через запятую: [1, с. 223]. Ссылка на столбцы в справочниках, словарях и т.п. обозначается как [1, ст. 1311]. Список литературы оформляется в соответствии с ГОСТ 7.1-2003. Нумерация в списке литературы приводится в порядке упоминания источников в тексте или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Не допускается замена названия источника на фразу «Там же».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52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Если автор планирует опубликование своей статьи на английском языке, то ему необходимо предоставить текст статьи на английском языке и название статьи, аннотации, ключевые слова, сведения об авторе(-ах) на русском и английском языках.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8" w:sz="0" w:val="none"/>
          <w:between w:color="auto" w:space="0" w:sz="0" w:val="none"/>
        </w:pBdr>
        <w:shd w:fill="f5f5f5" w:val="clear"/>
        <w:spacing w:after="520" w:before="0" w:line="240" w:lineRule="auto"/>
        <w:ind w:left="-220" w:right="-220" w:firstLine="0"/>
        <w:rPr>
          <w:color w:val="535353"/>
          <w:sz w:val="27"/>
          <w:szCs w:val="27"/>
        </w:rPr>
      </w:pPr>
      <w:bookmarkStart w:colFirst="0" w:colLast="0" w:name="_styw0fhtoess" w:id="0"/>
      <w:bookmarkEnd w:id="0"/>
      <w:r w:rsidDel="00000000" w:rsidR="00000000" w:rsidRPr="00000000">
        <w:rPr>
          <w:color w:val="535353"/>
          <w:sz w:val="27"/>
          <w:szCs w:val="27"/>
          <w:rtl w:val="0"/>
        </w:rPr>
        <w:t xml:space="preserve">ПРАВИЛА ОФОРМЛЕНИЯ БИБЛИОГРАФИЧЕСКОГО СПИСКА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В библиографическом описании каждого источника должны быть представлены ВСЕ АВТОРЫ. В случае, если у публикации более 4 авторов, то после 3-го автора необходимо поставить сокращение «…, и др.» или «…, et al.».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Библиографические описания ссылок на русскоязычные источники должны состоять из двух частей: русскоязычной и латиноязычной (подряд). При этом сначала следует приводить русскоязычную часть описания, затем – латиноязычную [в квадратных скобках].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Русскоязычную часть библиографического описания русскоязычного источника в списке литературы следует оформлять в соответствие с ГОСТ Р 7.0.5-2008.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lineRule="auto"/>
        <w:ind w:left="122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Англоязычную часть библиографического описания ссылок на русскоязычные источники следует приводить в формате Vancouver в версии AMA.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Фамилии и инициалы всех авторов на латинице и название статьи на английском языке следует приводить так, как они даны в оригинальной публикации. Транслитерацию следует проводить в стандарте BSI (автоматически транслитерация в стандарте BSI производится на странице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http://ru.translit.net/?account=bsi</w:t>
        </w:r>
      </w:hyperlink>
      <w:r w:rsidDel="00000000" w:rsidR="00000000" w:rsidRPr="00000000">
        <w:rPr>
          <w:color w:val="535353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Если у статьи есть ОФИЦИАЛЬНЫЙ ПЕРЕВОД НАЗВАНИЯ, его нужно вставить ВМЕСТО ТРАНСЛИТЕРАЦИИ – так же, как и транслитерацию, в квадратных скобках после оригинального написания библиографической ссылки на источник.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52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Во всех случаях, когда у цитируемого материала есть цифровой идентификатор (Digital Object Identifier – DOI), его необходимо указывать в самом конце библиографической ссылки.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8" w:sz="0" w:val="none"/>
          <w:between w:color="auto" w:space="0" w:sz="0" w:val="none"/>
        </w:pBdr>
        <w:shd w:fill="f5f5f5" w:val="clear"/>
        <w:spacing w:after="520" w:before="0" w:line="240" w:lineRule="auto"/>
        <w:ind w:left="-220" w:right="-220" w:firstLine="0"/>
        <w:rPr>
          <w:color w:val="535353"/>
          <w:sz w:val="27"/>
          <w:szCs w:val="27"/>
        </w:rPr>
      </w:pPr>
      <w:bookmarkStart w:colFirst="0" w:colLast="0" w:name="_nvpnafvtch0h" w:id="1"/>
      <w:bookmarkEnd w:id="1"/>
      <w:r w:rsidDel="00000000" w:rsidR="00000000" w:rsidRPr="00000000">
        <w:rPr>
          <w:color w:val="535353"/>
          <w:sz w:val="27"/>
          <w:szCs w:val="27"/>
          <w:rtl w:val="0"/>
        </w:rPr>
        <w:t xml:space="preserve">ПРИМЕРЫ ОФОРМЛЕНИЯ ССЫЛОК</w:t>
      </w:r>
    </w:p>
    <w:p w:rsidR="00000000" w:rsidDel="00000000" w:rsidP="00000000" w:rsidRDefault="00000000" w:rsidRPr="00000000" w14:paraId="00000027">
      <w:pPr>
        <w:spacing w:after="820" w:lineRule="auto"/>
        <w:ind w:left="-220" w:right="-220" w:firstLine="0"/>
        <w:rPr>
          <w:i w:val="1"/>
          <w:color w:val="535353"/>
          <w:sz w:val="20"/>
          <w:szCs w:val="20"/>
        </w:rPr>
      </w:pP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Ссылки на статьи в журналах: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Пчелин И.Ю., Василькова О.Н., Шишкин А.Н., и др.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Механизмы и клиническое значение нефропротективного действия ингибиторов натрий-глюкозного котранспортёра 2 типа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 // Juvenis scientia. 2019. №1. С.4-9. [Pchelin IY, Vasilkova VN, Shishkin AN, et al.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Mechanisms and clinical significance of nephroprotective action of sodium-glucose cotransporter 2 inhibitors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. Juvenis scientia. 2019;(1):4-9. (In Russ).] 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https://doi.org/10.32415/jscientia.2019.01.01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Zuykov M, Vinarski M, Pelletier E, et al.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Shell malformations in seven species of pond snail (Gastropoda, Lymnaeidae): analysis of large museum collections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. Zool. Reihe. 2012;88(2):365-368. </w:t>
      </w:r>
      <w:hyperlink r:id="rId11">
        <w:r w:rsidDel="00000000" w:rsidR="00000000" w:rsidRPr="00000000">
          <w:rPr>
            <w:sz w:val="20"/>
            <w:szCs w:val="20"/>
            <w:rtl w:val="0"/>
          </w:rPr>
          <w:t xml:space="preserve">https://doi.org/10.1002/zoos.201200025</w:t>
        </w:r>
      </w:hyperlink>
      <w:r w:rsidDel="00000000" w:rsidR="00000000" w:rsidRPr="00000000">
        <w:rPr>
          <w:color w:val="53535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Панова М.В., Сергиевский С.О., Гранович А.И.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Изменение формы раковины литоральных моллюсков Littorinasaxatilis и Littorinaobtusata при зараженности партенитами трематод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 // Паразитология. 1999. Т.33. №1. С.13-25. [Panova MV, Sergievskii SO, Granovich AI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Izmenenie formy rakoviny litoral’nykh mollyuskov Littorinasaxatilis i Littorinaobtusata pri zarazhennosti partenitami trematod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. Parazitologiya. 1999;33(1):13-25. (In Russ).]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68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Jeremias X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Noves aportacions al coneixement de la teratologia elitral en coleòpters dinàstids ibèrics (Coleoptera: Scarabaeoidea)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. Butll. Inst. Cat. Hist. Nat. 2004;(72):39-47.</w:t>
      </w:r>
    </w:p>
    <w:p w:rsidR="00000000" w:rsidDel="00000000" w:rsidP="00000000" w:rsidRDefault="00000000" w:rsidRPr="00000000" w14:paraId="0000002C">
      <w:pPr>
        <w:spacing w:after="820" w:lineRule="auto"/>
        <w:ind w:left="-220" w:right="-220" w:firstLine="0"/>
        <w:rPr>
          <w:i w:val="1"/>
          <w:color w:val="535353"/>
          <w:sz w:val="20"/>
          <w:szCs w:val="20"/>
        </w:rPr>
      </w:pP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Ссылки на книги: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Жадин В.И.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Моллюски пресных и солоноватых вод СССР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 // Определители по фауне СССР. Вып. 46. М. -Л.: Издательство АН СССР; 1952. [Zhadin VI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Mollyuski presnykh i solonovatykh vod SSSR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. In: Opredeliteli po faune SSSR Vyp. 46. Moscow, Leningrad: USSR Academy of Sciences Publishing House; 1952. (In Russ).]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680" w:lineRule="auto"/>
        <w:ind w:left="500" w:right="-220" w:hanging="360"/>
      </w:pPr>
      <w:r w:rsidDel="00000000" w:rsidR="00000000" w:rsidRPr="00000000">
        <w:rPr>
          <w:color w:val="535353"/>
          <w:sz w:val="20"/>
          <w:szCs w:val="20"/>
          <w:rtl w:val="0"/>
        </w:rPr>
        <w:t xml:space="preserve">Лакин Г.Ф.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Биометрия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: учебное пособие для биол. спец. вузов. 4-е изд., перераб. и доп. М.: Высшая школа; 1990. [Lakin GF </w:t>
      </w: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Biometriya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: schoolbook. Moscow: Vysshaya shkola; 1990. (In Russ).]</w:t>
      </w:r>
    </w:p>
    <w:p w:rsidR="00000000" w:rsidDel="00000000" w:rsidP="00000000" w:rsidRDefault="00000000" w:rsidRPr="00000000" w14:paraId="0000002F">
      <w:pPr>
        <w:spacing w:after="820" w:lineRule="auto"/>
        <w:ind w:left="-220" w:right="-220" w:firstLine="0"/>
        <w:rPr>
          <w:i w:val="1"/>
          <w:color w:val="535353"/>
          <w:sz w:val="20"/>
          <w:szCs w:val="20"/>
        </w:rPr>
      </w:pP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Ссылки на интернет-источники: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Rule="auto"/>
        <w:ind w:left="500" w:right="-220" w:hanging="360"/>
      </w:pP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Российский статистический ежегодник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 / Официальный сайт Федеральной службы государственной статистики. URL: http://www.gks.ru.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520" w:lineRule="auto"/>
        <w:ind w:left="500" w:right="-220" w:hanging="360"/>
      </w:pPr>
      <w:r w:rsidDel="00000000" w:rsidR="00000000" w:rsidRPr="00000000">
        <w:rPr>
          <w:i w:val="1"/>
          <w:color w:val="535353"/>
          <w:sz w:val="20"/>
          <w:szCs w:val="20"/>
          <w:rtl w:val="0"/>
        </w:rPr>
        <w:t xml:space="preserve">Социальная сфера</w:t>
      </w:r>
      <w:r w:rsidDel="00000000" w:rsidR="00000000" w:rsidRPr="00000000">
        <w:rPr>
          <w:color w:val="535353"/>
          <w:sz w:val="20"/>
          <w:szCs w:val="20"/>
          <w:rtl w:val="0"/>
        </w:rPr>
        <w:t xml:space="preserve"> / Официальный сайт информационно-правового портала Гарант.ру. URL: https://www.garant.ru.</w:t>
      </w:r>
    </w:p>
    <w:p w:rsidR="00000000" w:rsidDel="00000000" w:rsidP="00000000" w:rsidRDefault="00000000" w:rsidRPr="00000000" w14:paraId="0000003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3535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i.org/10.1002/zoos.201200025" TargetMode="External"/><Relationship Id="rId10" Type="http://schemas.openxmlformats.org/officeDocument/2006/relationships/hyperlink" Target="https://doi.org/10.32415/jscientia.2019.01.01" TargetMode="External"/><Relationship Id="rId9" Type="http://schemas.openxmlformats.org/officeDocument/2006/relationships/hyperlink" Target="http://ru.translit.net/?account=bsi" TargetMode="External"/><Relationship Id="rId5" Type="http://schemas.openxmlformats.org/officeDocument/2006/relationships/styles" Target="styles.xml"/><Relationship Id="rId6" Type="http://schemas.openxmlformats.org/officeDocument/2006/relationships/hyperlink" Target="https://eesa-journal.com/anketa-avtora-ru/" TargetMode="External"/><Relationship Id="rId7" Type="http://schemas.openxmlformats.org/officeDocument/2006/relationships/hyperlink" Target="https://teacode.com/online/udc/" TargetMode="External"/><Relationship Id="rId8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