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color w:val="1c1c1c"/>
          <w:sz w:val="21"/>
          <w:szCs w:val="21"/>
          <w:highlight w:val="white"/>
        </w:rPr>
      </w:pPr>
      <w:r w:rsidDel="00000000" w:rsidR="00000000" w:rsidRPr="00000000">
        <w:rPr>
          <w:color w:val="1c1c1c"/>
          <w:sz w:val="21"/>
          <w:szCs w:val="21"/>
          <w:highlight w:val="white"/>
          <w:rtl w:val="0"/>
        </w:rPr>
        <w:t xml:space="preserve">В рамках процесса представления авторы должны проверить соответствие своих представлений всем следующим пунктам, и материалы могут быть возвращены авторам, которые не придерживаются этих рекомендаций.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color="auto" w:space="15" w:sz="0" w:val="none"/>
          <w:bottom w:color="dddddd" w:space="15" w:sz="6" w:val="single"/>
          <w:right w:color="auto" w:space="15" w:sz="0" w:val="none"/>
        </w:pBdr>
        <w:shd w:fill="ffffff" w:val="clear"/>
        <w:spacing w:after="0" w:afterAutospacing="0" w:before="600" w:lineRule="auto"/>
        <w:ind w:left="720" w:hanging="360"/>
        <w:rPr>
          <w:color w:val="1c1c1c"/>
        </w:rPr>
      </w:pPr>
      <w:r w:rsidDel="00000000" w:rsidR="00000000" w:rsidRPr="00000000">
        <w:rPr>
          <w:color w:val="1c1c1c"/>
          <w:sz w:val="20"/>
          <w:szCs w:val="20"/>
          <w:rtl w:val="0"/>
        </w:rPr>
        <w:t xml:space="preserve">Представление не было ранее опубликовано, равно как и перед другим журналом для рассмотрения (или объяснение было предоставлено в Комментариях для редактора).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15" w:sz="0" w:val="none"/>
          <w:bottom w:color="dddddd" w:space="15" w:sz="6" w:val="single"/>
          <w:right w:color="auto" w:space="15" w:sz="0" w:val="none"/>
        </w:pBdr>
        <w:shd w:fill="ffffff" w:val="clear"/>
        <w:spacing w:after="0" w:afterAutospacing="0" w:before="0" w:beforeAutospacing="0" w:lineRule="auto"/>
        <w:ind w:left="720" w:hanging="360"/>
        <w:rPr>
          <w:color w:val="1c1c1c"/>
        </w:rPr>
      </w:pPr>
      <w:r w:rsidDel="00000000" w:rsidR="00000000" w:rsidRPr="00000000">
        <w:rPr>
          <w:color w:val="1c1c1c"/>
          <w:sz w:val="20"/>
          <w:szCs w:val="20"/>
          <w:rtl w:val="0"/>
        </w:rPr>
        <w:t xml:space="preserve">Файл представления представлен в формате файла документа OpenOffice, Microsoft Word или RTF.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15" w:sz="0" w:val="none"/>
          <w:bottom w:color="dddddd" w:space="15" w:sz="6" w:val="single"/>
          <w:right w:color="auto" w:space="15" w:sz="0" w:val="none"/>
        </w:pBdr>
        <w:shd w:fill="ffffff" w:val="clear"/>
        <w:spacing w:after="0" w:afterAutospacing="0" w:before="0" w:beforeAutospacing="0" w:lineRule="auto"/>
        <w:ind w:left="720" w:hanging="360"/>
        <w:rPr>
          <w:color w:val="1c1c1c"/>
        </w:rPr>
      </w:pPr>
      <w:r w:rsidDel="00000000" w:rsidR="00000000" w:rsidRPr="00000000">
        <w:rPr>
          <w:color w:val="1c1c1c"/>
          <w:sz w:val="20"/>
          <w:szCs w:val="20"/>
          <w:rtl w:val="0"/>
        </w:rPr>
        <w:t xml:space="preserve">Где доступно, URL для ссылок были предоставлены.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15" w:sz="0" w:val="none"/>
          <w:bottom w:color="dddddd" w:space="15" w:sz="6" w:val="single"/>
          <w:right w:color="auto" w:space="15" w:sz="0" w:val="none"/>
        </w:pBdr>
        <w:shd w:fill="ffffff" w:val="clear"/>
        <w:spacing w:after="0" w:afterAutospacing="0" w:before="0" w:beforeAutospacing="0" w:lineRule="auto"/>
        <w:ind w:left="720" w:hanging="360"/>
        <w:rPr>
          <w:color w:val="1c1c1c"/>
        </w:rPr>
      </w:pPr>
      <w:r w:rsidDel="00000000" w:rsidR="00000000" w:rsidRPr="00000000">
        <w:rPr>
          <w:color w:val="1c1c1c"/>
          <w:sz w:val="20"/>
          <w:szCs w:val="20"/>
          <w:rtl w:val="0"/>
        </w:rPr>
        <w:t xml:space="preserve">Текст в 1,5 интервала; использует 14-точечный шрифт; использует курсив, а не подчеркивание (за исключением URL-адресов); и все иллюстрации, рисунки и таблицы размещаются в тексте в соответствующих точках, а не в конце.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15" w:sz="0" w:val="none"/>
          <w:bottom w:color="dddddd" w:space="15" w:sz="6" w:val="single"/>
          <w:right w:color="auto" w:space="15" w:sz="0" w:val="none"/>
        </w:pBdr>
        <w:shd w:fill="ffffff" w:val="clear"/>
        <w:spacing w:before="0" w:beforeAutospacing="0" w:lineRule="auto"/>
        <w:ind w:left="720" w:hanging="360"/>
        <w:rPr>
          <w:color w:val="1c1c1c"/>
        </w:rPr>
      </w:pPr>
      <w:r w:rsidDel="00000000" w:rsidR="00000000" w:rsidRPr="00000000">
        <w:rPr>
          <w:color w:val="1c1c1c"/>
          <w:sz w:val="20"/>
          <w:szCs w:val="20"/>
          <w:rtl w:val="0"/>
        </w:rPr>
        <w:t xml:space="preserve">Текст соответствует стилистическим и библиографическим требованиям, изложенным в Руководстве для авторов.</w:t>
      </w:r>
    </w:p>
    <w:p w:rsidR="00000000" w:rsidDel="00000000" w:rsidP="00000000" w:rsidRDefault="00000000" w:rsidRPr="00000000" w14:paraId="00000007">
      <w:pPr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